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800"/>
        <w:jc w:val="center"/>
      </w:pPr>
      <w:r>
        <w:rPr>
          <w:rFonts w:ascii="Noto Sans CJK SC" w:hAnsi="Noto Sans CJK SC" w:eastAsia="Noto Sans CJK SC"/>
          <w:b/>
          <w:color w:val="202836"/>
          <w:sz w:val="64"/>
        </w:rPr>
        <w:t>软件 UI 设计结构与组件图鉴</w:t>
      </w:r>
    </w:p>
    <w:p>
      <w:pPr>
        <w:jc w:val="center"/>
      </w:pPr>
      <w:r>
        <w:rPr>
          <w:color w:val="2F70F6"/>
          <w:sz w:val="32"/>
        </w:rPr>
        <w:t>布局 · 组件 · 视觉样式 · 交互模式 · 响应式 · 设计系统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5852160" cy="342769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esign_system_layer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34276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rPr>
          <w:rFonts w:ascii="Noto Sans CJK SC" w:hAnsi="Noto Sans CJK SC" w:eastAsia="Noto Sans CJK SC"/>
          <w:b w:val="0"/>
          <w:color w:val="667184"/>
          <w:sz w:val="22"/>
        </w:rPr>
        <w:t>面向产品经理、独立开发者、UI/UX 设计师与 AI Coding 工作流的结构化参考手册</w:t>
      </w:r>
    </w:p>
    <w:p>
      <w:pPr>
        <w:spacing w:after="120"/>
        <w:jc w:val="center"/>
      </w:pPr>
      <w:r>
        <w:rPr>
          <w:rFonts w:ascii="Noto Sans CJK SC" w:hAnsi="Noto Sans CJK SC" w:eastAsia="Noto Sans CJK SC"/>
          <w:b w:val="0"/>
          <w:color w:val="96A0B0"/>
          <w:sz w:val="19"/>
        </w:rPr>
        <w:t>版本：2026.08 · 结构化图鉴版</w:t>
      </w:r>
    </w:p>
    <w:p>
      <w:r>
        <w:br w:type="page"/>
      </w:r>
    </w:p>
    <w:p>
      <w:pPr>
        <w:pStyle w:val="Heading1"/>
      </w:pPr>
      <w:r>
        <w:t>使用说明：这不是“风格大全”，而是一套 UI 结构语言</w:t>
      </w:r>
    </w:p>
    <w:p>
      <w:pPr>
        <w:spacing w:after="120"/>
      </w:pPr>
      <w:r>
        <w:rPr>
          <w:rFonts w:ascii="Noto Sans CJK SC" w:hAnsi="Noto Sans CJK SC" w:eastAsia="Noto Sans CJK SC"/>
          <w:b w:val="0"/>
          <w:sz w:val="21"/>
        </w:rPr>
        <w:t>软件 UI 设计可以被拆成六层：应用壳层（Layout）→ 导航（Navigation）→ 内容与数据呈现（Content/Data）→ 组件（Components）→ 视觉样式（Visual Style）→ 交互与状态（Interaction/State）。只有把这些层分开，才能准确地向设计师或 AI 描述“我要什么”。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6126480" cy="3588367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esign_system_layer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588367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EEF4FF"/>
          </w:tcPr>
          <w:p>
            <w:r>
              <w:rPr>
                <w:b/>
                <w:color w:val="2F70F6"/>
                <w:sz w:val="21"/>
              </w:rPr>
              <w:t xml:space="preserve">快速原则  </w:t>
            </w:r>
            <w:r>
              <w:rPr>
                <w:sz w:val="21"/>
              </w:rPr>
              <w:t>不要把“Bento、Glassmorphism、三栏文档、Sidebar、Modal、Tabs”混成同一层概念。它们分别属于视觉风格、页面布局、组件或交互模式。</w:t>
            </w:r>
          </w:p>
        </w:tc>
      </w:tr>
    </w:tbl>
    <w:p>
      <w:pPr>
        <w:spacing w:after="40"/>
      </w:pP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本手册中的“结构”描述信息和操作如何组织；“样式”描述视觉语言；“组件”描述可复用 UI 单元；“模式”描述一类反复出现的交互解决方案。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图示为结构示意，不是固定像素规范。实际项目仍应结合业务、终端、内容密度和无障碍要求。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“所有”在 UI 领域不存在真正封闭集合；本手册覆盖软件产品中最常见、可复用、工程化价值最高的一组类型。</w:t>
      </w:r>
    </w:p>
    <w:p>
      <w:r>
        <w:br w:type="page"/>
      </w:r>
    </w:p>
    <w:p>
      <w:pPr>
        <w:pStyle w:val="Heading1"/>
      </w:pPr>
      <w:r>
        <w:t>总目录</w:t>
      </w:r>
    </w:p>
    <w:p>
      <w:pPr>
        <w:spacing w:after="80"/>
      </w:pPr>
      <w:r>
        <w:rPr>
          <w:rFonts w:ascii="Noto Sans CJK SC" w:hAnsi="Noto Sans CJK SC" w:eastAsia="Noto Sans CJK SC"/>
          <w:b/>
          <w:color w:val="2F70F6"/>
          <w:sz w:val="24"/>
        </w:rPr>
        <w:t>01 应用壳层与页面布局</w:t>
      </w:r>
    </w:p>
    <w:p>
      <w:pPr>
        <w:spacing w:after="80"/>
      </w:pPr>
      <w:r>
        <w:rPr>
          <w:rFonts w:ascii="Noto Sans CJK SC" w:hAnsi="Noto Sans CJK SC" w:eastAsia="Noto Sans CJK SC"/>
          <w:b/>
          <w:color w:val="2F70F6"/>
          <w:sz w:val="24"/>
        </w:rPr>
        <w:t>02 导航结构</w:t>
      </w:r>
    </w:p>
    <w:p>
      <w:pPr>
        <w:spacing w:after="80"/>
      </w:pPr>
      <w:r>
        <w:rPr>
          <w:rFonts w:ascii="Noto Sans CJK SC" w:hAnsi="Noto Sans CJK SC" w:eastAsia="Noto Sans CJK SC"/>
          <w:b/>
          <w:color w:val="2F70F6"/>
          <w:sz w:val="24"/>
        </w:rPr>
        <w:t>03 内容与数据布局</w:t>
      </w:r>
    </w:p>
    <w:p>
      <w:pPr>
        <w:spacing w:after="80"/>
      </w:pPr>
      <w:r>
        <w:rPr>
          <w:rFonts w:ascii="Noto Sans CJK SC" w:hAnsi="Noto Sans CJK SC" w:eastAsia="Noto Sans CJK SC"/>
          <w:b/>
          <w:color w:val="2F70F6"/>
          <w:sz w:val="24"/>
        </w:rPr>
        <w:t>04 表单布局</w:t>
      </w:r>
    </w:p>
    <w:p>
      <w:pPr>
        <w:spacing w:after="80"/>
      </w:pPr>
      <w:r>
        <w:rPr>
          <w:rFonts w:ascii="Noto Sans CJK SC" w:hAnsi="Noto Sans CJK SC" w:eastAsia="Noto Sans CJK SC"/>
          <w:b/>
          <w:color w:val="2F70F6"/>
          <w:sz w:val="24"/>
        </w:rPr>
        <w:t>05 按钮组件</w:t>
      </w:r>
    </w:p>
    <w:p>
      <w:pPr>
        <w:spacing w:after="80"/>
      </w:pPr>
      <w:r>
        <w:rPr>
          <w:rFonts w:ascii="Noto Sans CJK SC" w:hAnsi="Noto Sans CJK SC" w:eastAsia="Noto Sans CJK SC"/>
          <w:b/>
          <w:color w:val="2F70F6"/>
          <w:sz w:val="24"/>
        </w:rPr>
        <w:t>06 输入与选择组件</w:t>
      </w:r>
    </w:p>
    <w:p>
      <w:pPr>
        <w:spacing w:after="80"/>
      </w:pPr>
      <w:r>
        <w:rPr>
          <w:rFonts w:ascii="Noto Sans CJK SC" w:hAnsi="Noto Sans CJK SC" w:eastAsia="Noto Sans CJK SC"/>
          <w:b/>
          <w:color w:val="2F70F6"/>
          <w:sz w:val="24"/>
        </w:rPr>
        <w:t>07 反馈、状态与覆盖层</w:t>
      </w:r>
    </w:p>
    <w:p>
      <w:pPr>
        <w:spacing w:after="80"/>
      </w:pPr>
      <w:r>
        <w:rPr>
          <w:rFonts w:ascii="Noto Sans CJK SC" w:hAnsi="Noto Sans CJK SC" w:eastAsia="Noto Sans CJK SC"/>
          <w:b/>
          <w:color w:val="2F70F6"/>
          <w:sz w:val="24"/>
        </w:rPr>
        <w:t>08 组件状态矩阵</w:t>
      </w:r>
    </w:p>
    <w:p>
      <w:pPr>
        <w:spacing w:after="80"/>
      </w:pPr>
      <w:r>
        <w:rPr>
          <w:rFonts w:ascii="Noto Sans CJK SC" w:hAnsi="Noto Sans CJK SC" w:eastAsia="Noto Sans CJK SC"/>
          <w:b/>
          <w:color w:val="2F70F6"/>
          <w:sz w:val="24"/>
        </w:rPr>
        <w:t>09 视觉风格体系</w:t>
      </w:r>
    </w:p>
    <w:p>
      <w:pPr>
        <w:spacing w:after="80"/>
      </w:pPr>
      <w:r>
        <w:rPr>
          <w:rFonts w:ascii="Noto Sans CJK SC" w:hAnsi="Noto Sans CJK SC" w:eastAsia="Noto Sans CJK SC"/>
          <w:b/>
          <w:color w:val="2F70F6"/>
          <w:sz w:val="24"/>
        </w:rPr>
        <w:t>10 交互模式</w:t>
      </w:r>
    </w:p>
    <w:p>
      <w:pPr>
        <w:spacing w:after="80"/>
      </w:pPr>
      <w:r>
        <w:rPr>
          <w:rFonts w:ascii="Noto Sans CJK SC" w:hAnsi="Noto Sans CJK SC" w:eastAsia="Noto Sans CJK SC"/>
          <w:b/>
          <w:color w:val="2F70F6"/>
          <w:sz w:val="24"/>
        </w:rPr>
        <w:t>11 响应式、密度与可访问性</w:t>
      </w:r>
    </w:p>
    <w:p>
      <w:pPr>
        <w:spacing w:after="80"/>
      </w:pPr>
      <w:r>
        <w:rPr>
          <w:rFonts w:ascii="Noto Sans CJK SC" w:hAnsi="Noto Sans CJK SC" w:eastAsia="Noto Sans CJK SC"/>
          <w:b/>
          <w:color w:val="2F70F6"/>
          <w:sz w:val="24"/>
        </w:rPr>
        <w:t>12 设计系统与 Token</w:t>
      </w:r>
    </w:p>
    <w:p>
      <w:pPr>
        <w:spacing w:after="80"/>
      </w:pPr>
      <w:r>
        <w:rPr>
          <w:rFonts w:ascii="Noto Sans CJK SC" w:hAnsi="Noto Sans CJK SC" w:eastAsia="Noto Sans CJK SC"/>
          <w:b/>
          <w:color w:val="2F70F6"/>
          <w:sz w:val="24"/>
        </w:rPr>
        <w:t>13 组合选择矩阵</w:t>
      </w:r>
    </w:p>
    <w:p>
      <w:pPr>
        <w:spacing w:after="80"/>
      </w:pPr>
      <w:r>
        <w:rPr>
          <w:rFonts w:ascii="Noto Sans CJK SC" w:hAnsi="Noto Sans CJK SC" w:eastAsia="Noto Sans CJK SC"/>
          <w:b/>
          <w:color w:val="2F70F6"/>
          <w:sz w:val="24"/>
        </w:rPr>
        <w:t>14 AI / Codex 描述模板</w:t>
      </w:r>
    </w:p>
    <w:p>
      <w:pPr>
        <w:spacing w:after="80"/>
      </w:pPr>
      <w:r>
        <w:rPr>
          <w:rFonts w:ascii="Noto Sans CJK SC" w:hAnsi="Noto Sans CJK SC" w:eastAsia="Noto Sans CJK SC"/>
          <w:b/>
          <w:color w:val="2F70F6"/>
          <w:sz w:val="24"/>
        </w:rPr>
        <w:t>15 视觉基础与 Design Tokens</w:t>
      </w:r>
    </w:p>
    <w:p>
      <w:pPr>
        <w:spacing w:after="80"/>
      </w:pPr>
      <w:r>
        <w:rPr>
          <w:rFonts w:ascii="Noto Sans CJK SC" w:hAnsi="Noto Sans CJK SC" w:eastAsia="Noto Sans CJK SC"/>
          <w:b/>
          <w:color w:val="2F70F6"/>
          <w:sz w:val="24"/>
        </w:rPr>
        <w:t>16 常用展示与辅助组件</w:t>
      </w:r>
    </w:p>
    <w:p>
      <w:pPr>
        <w:spacing w:after="80"/>
      </w:pPr>
      <w:r>
        <w:rPr>
          <w:rFonts w:ascii="Noto Sans CJK SC" w:hAnsi="Noto Sans CJK SC" w:eastAsia="Noto Sans CJK SC"/>
          <w:b/>
          <w:color w:val="2F70F6"/>
          <w:sz w:val="24"/>
        </w:rPr>
        <w:t>17 数据可视化</w:t>
      </w:r>
    </w:p>
    <w:p>
      <w:pPr>
        <w:spacing w:after="80"/>
      </w:pPr>
      <w:r>
        <w:rPr>
          <w:rFonts w:ascii="Noto Sans CJK SC" w:hAnsi="Noto Sans CJK SC" w:eastAsia="Noto Sans CJK SC"/>
          <w:b/>
          <w:color w:val="2F70F6"/>
          <w:sz w:val="24"/>
        </w:rPr>
        <w:t>18 媒体与富内容组件</w:t>
      </w:r>
    </w:p>
    <w:p>
      <w:pPr>
        <w:spacing w:after="80"/>
      </w:pPr>
      <w:r>
        <w:rPr>
          <w:rFonts w:ascii="Noto Sans CJK SC" w:hAnsi="Noto Sans CJK SC" w:eastAsia="Noto Sans CJK SC"/>
          <w:b/>
          <w:color w:val="2F70F6"/>
          <w:sz w:val="24"/>
        </w:rPr>
        <w:t>19 移动端专用模式</w:t>
      </w:r>
    </w:p>
    <w:p>
      <w:pPr>
        <w:spacing w:after="80"/>
      </w:pPr>
      <w:r>
        <w:rPr>
          <w:rFonts w:ascii="Noto Sans CJK SC" w:hAnsi="Noto Sans CJK SC" w:eastAsia="Noto Sans CJK SC"/>
          <w:b/>
          <w:color w:val="2F70F6"/>
          <w:sz w:val="24"/>
        </w:rPr>
        <w:t>20 动效与微交互</w:t>
      </w:r>
    </w:p>
    <w:p>
      <w:r>
        <w:br w:type="page"/>
      </w:r>
    </w:p>
    <w:p>
      <w:pPr>
        <w:pStyle w:val="Heading1"/>
      </w:pPr>
      <w:r>
        <w:t>01｜应用壳层与页面布局</w:t>
      </w:r>
    </w:p>
    <w:p>
      <w:pPr>
        <w:spacing w:after="120"/>
      </w:pPr>
      <w:r>
        <w:rPr>
          <w:rFonts w:ascii="Noto Sans CJK SC" w:hAnsi="Noto Sans CJK SC" w:eastAsia="Noto Sans CJK SC"/>
          <w:b w:val="0"/>
          <w:sz w:val="21"/>
        </w:rPr>
        <w:t>“应用壳层”决定用户进入软件后长期看到的骨架：导航在哪里、主工作区多大、辅助信息放在哪里、不同页面之间如何保持空间稳定。大型软件通常由 1 个主壳层 + 若干局部布局组合而成。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578"/>
        <w:gridCol w:w="2578"/>
        <w:gridCol w:w="2578"/>
        <w:gridCol w:w="2578"/>
      </w:tblGrid>
      <w:tr>
        <w:tc>
          <w:tcPr>
            <w:tcW w:type="dxa" w:w="2578"/>
            <w:vAlign w:val="center"/>
            <w:shd w:fill="2F70F6"/>
          </w:tcPr>
          <w:p>
            <w:r/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结构</w:t>
            </w:r>
          </w:p>
        </w:tc>
        <w:tc>
          <w:tcPr>
            <w:tcW w:type="dxa" w:w="2578"/>
            <w:vAlign w:val="center"/>
            <w:shd w:fill="2F70F6"/>
          </w:tcPr>
          <w:p>
            <w:r/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典型产品</w:t>
            </w:r>
          </w:p>
        </w:tc>
        <w:tc>
          <w:tcPr>
            <w:tcW w:type="dxa" w:w="2578"/>
            <w:vAlign w:val="center"/>
            <w:shd w:fill="2F70F6"/>
          </w:tcPr>
          <w:p>
            <w:r/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优势</w:t>
            </w:r>
          </w:p>
        </w:tc>
        <w:tc>
          <w:tcPr>
            <w:tcW w:type="dxa" w:w="2578"/>
            <w:vAlign w:val="center"/>
            <w:shd w:fill="2F70F6"/>
          </w:tcPr>
          <w:p>
            <w:r/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主要风险</w:t>
            </w:r>
          </w:p>
        </w:tc>
      </w:tr>
      <w:tr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顶部导航型 Top Navigation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营销后台、轻量工具、内容站；导航层级较浅。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顶部承载全局入口，中间给主工作区，适合 4–7 个一级导航。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移动端重排、面板过多或信息密度失衡</w:t>
            </w:r>
          </w:p>
        </w:tc>
      </w:tr>
      <w:tr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侧边栏型 Sidebar App Shell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后台系统、SaaS、企业应用。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左侧固定导航，右侧工作区；扩展性强，是最常见的软件壳层。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移动端重排、面板过多或信息密度失衡</w:t>
            </w:r>
          </w:p>
        </w:tc>
      </w:tr>
      <w:tr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双侧边栏型 Dual Sidebar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聊天、协作、频道、素材管理。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第一栏用于全局域/工作区，第二栏用于当前域内对象。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移动端重排、面板过多或信息密度失衡</w:t>
            </w:r>
          </w:p>
        </w:tc>
      </w:tr>
      <w:tr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三栏型 Three-pane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邮件、文件管理、IDE、知识库。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导航/列表—主内容—详情/属性三层同时可见。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移动端重排、面板过多或信息密度失衡</w:t>
            </w:r>
          </w:p>
        </w:tc>
      </w:tr>
      <w:tr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主从结构 Master–Detail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订单、联系人、任务、工单。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左边选对象，右边看详情，减少页面跳转。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移动端重排、面板过多或信息密度失衡</w:t>
            </w:r>
          </w:p>
        </w:tc>
      </w:tr>
      <w:tr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分屏结构 Split View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对比、翻译、Diff、预览、编辑器。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两个工作区并列，适合直接比较或同步编辑。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移动端重排、面板过多或信息密度失衡</w:t>
            </w:r>
          </w:p>
        </w:tc>
      </w:tr>
      <w:tr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仪表盘 Dashboard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运营、数据分析、监控。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卡片化 KPI + 图表 + 数据表，强调概览与异常发现。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移动端重排、面板过多或信息密度失衡</w:t>
            </w:r>
          </w:p>
        </w:tc>
      </w:tr>
      <w:tr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无限画布 Workspace / Canvas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Figma、白板、流程图、节点编辑。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中央画布为核心，工具与属性环绕。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移动端重排、面板过多或信息密度失衡</w:t>
            </w:r>
          </w:p>
        </w:tc>
      </w:tr>
      <w:tr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命令中心 Command Center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效率工具、DevTools、AI 工作台。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搜索/命令入口成为主交互，适合键盘优先用户。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移动端重排、面板过多或信息密度失衡</w:t>
            </w:r>
          </w:p>
        </w:tc>
      </w:tr>
      <w:tr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沉浸全屏 Immersive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视频、阅读、演示、创作。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最大化内容，弱化全局导航，降低视觉干扰。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移动端重排、面板过多或信息密度失衡</w:t>
            </w:r>
          </w:p>
        </w:tc>
      </w:tr>
      <w:tr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向导 Wizard / Stepper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安装、开户、复杂配置、创建流程。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把复杂任务拆成若干有顺序的步骤。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移动端重排、面板过多或信息密度失衡</w:t>
            </w:r>
          </w:p>
        </w:tc>
      </w:tr>
      <w:tr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信息流 Feed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社区、动态、资讯、通知。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围绕连续内容消费设计，常配推荐与辅助栏。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移动端重排、面板过多或信息密度失衡</w:t>
            </w:r>
          </w:p>
        </w:tc>
      </w:tr>
      <w:tr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聊天式 Chat UI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AI 助手、客服、IM。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对话流 + 输入框是主要结构，适合时序交互。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移动端重排、面板过多或信息密度失衡</w:t>
            </w:r>
          </w:p>
        </w:tc>
      </w:tr>
      <w:tr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看板 Kanban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项目管理、销售管道、审批。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状态即列，卡片在列间移动，强调流程。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移动端重排、面板过多或信息密度失衡</w:t>
            </w:r>
          </w:p>
        </w:tc>
      </w:tr>
      <w:tr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日历 Calendar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排期、日程、资源预订。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用时间轴或网格表达任务、事件和冲突。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移动端重排、面板过多或信息密度失衡</w:t>
            </w:r>
          </w:p>
        </w:tc>
      </w:tr>
      <w:tr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数据表格 Data Table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财务、CRM、管理后台。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高密度结构化数据，需排序、筛选、批量操作。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移动端重排、面板过多或信息密度失衡</w:t>
            </w:r>
          </w:p>
        </w:tc>
      </w:tr>
      <w:tr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IDE / 编辑器型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代码、建模、专业创作软件。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文件树 + 主编辑器 + 辅助面板，多面板高密度布局。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移动端重排、面板过多或信息密度失衡</w:t>
            </w:r>
          </w:p>
        </w:tc>
      </w:tr>
      <w:tr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三栏技术文档 Docs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开发者文档、知识库、产品手册。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左侧文档树，中间正文，右侧页内目录。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移动端重排、面板过多或信息密度失衡</w:t>
            </w:r>
          </w:p>
        </w:tc>
      </w:tr>
    </w:tbl>
    <w:p>
      <w:r>
        <w:br w:type="page"/>
      </w:r>
    </w:p>
    <w:p>
      <w:pPr>
        <w:pStyle w:val="Heading2"/>
      </w:pPr>
      <w:r>
        <w:t>1.1 顶部导航型 Top Navigation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6217920" cy="364192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yout_topnav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6419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rFonts w:ascii="Noto Sans CJK SC" w:hAnsi="Noto Sans CJK SC" w:eastAsia="Noto Sans CJK SC"/>
          <w:b w:val="0"/>
          <w:sz w:val="21"/>
        </w:rPr>
        <w:t>顶部承载全局入口，中间给主工作区，适合 4–7 个一级导航。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适用：营销后台、轻量工具、内容站；导航层级较浅。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设计关注：主任务是否始终占据视觉中心；导航层级是否稳定；辅助栏是否可以折叠。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移动端策略：通常需要把并列面板改为逐层进入、抽屉、底部 Sheet 或独立详情页。</w:t>
      </w:r>
    </w:p>
    <w:p>
      <w:r>
        <w:br w:type="page"/>
      </w:r>
    </w:p>
    <w:p>
      <w:pPr>
        <w:pStyle w:val="Heading2"/>
      </w:pPr>
      <w:r>
        <w:t>1.2 侧边栏型 Sidebar App Shell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6217920" cy="364192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yout_sidebar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6419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rFonts w:ascii="Noto Sans CJK SC" w:hAnsi="Noto Sans CJK SC" w:eastAsia="Noto Sans CJK SC"/>
          <w:b w:val="0"/>
          <w:sz w:val="21"/>
        </w:rPr>
        <w:t>左侧固定导航，右侧工作区；扩展性强，是最常见的软件壳层。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适用：后台系统、SaaS、企业应用。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设计关注：主任务是否始终占据视觉中心；导航层级是否稳定；辅助栏是否可以折叠。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移动端策略：通常需要把并列面板改为逐层进入、抽屉、底部 Sheet 或独立详情页。</w:t>
      </w:r>
    </w:p>
    <w:p>
      <w:r>
        <w:br w:type="page"/>
      </w:r>
    </w:p>
    <w:p>
      <w:pPr>
        <w:pStyle w:val="Heading2"/>
      </w:pPr>
      <w:r>
        <w:t>1.3 双侧边栏型 Dual Sidebar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6217920" cy="364192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yout_dual-sidebar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6419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rFonts w:ascii="Noto Sans CJK SC" w:hAnsi="Noto Sans CJK SC" w:eastAsia="Noto Sans CJK SC"/>
          <w:b w:val="0"/>
          <w:sz w:val="21"/>
        </w:rPr>
        <w:t>第一栏用于全局域/工作区，第二栏用于当前域内对象。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适用：聊天、协作、频道、素材管理。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设计关注：主任务是否始终占据视觉中心；导航层级是否稳定；辅助栏是否可以折叠。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移动端策略：通常需要把并列面板改为逐层进入、抽屉、底部 Sheet 或独立详情页。</w:t>
      </w:r>
    </w:p>
    <w:p>
      <w:r>
        <w:br w:type="page"/>
      </w:r>
    </w:p>
    <w:p>
      <w:pPr>
        <w:pStyle w:val="Heading2"/>
      </w:pPr>
      <w:r>
        <w:t>1.4 三栏型 Three-pane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6217920" cy="364192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yout_three-pan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6419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rFonts w:ascii="Noto Sans CJK SC" w:hAnsi="Noto Sans CJK SC" w:eastAsia="Noto Sans CJK SC"/>
          <w:b w:val="0"/>
          <w:sz w:val="21"/>
        </w:rPr>
        <w:t>导航/列表—主内容—详情/属性三层同时可见。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适用：邮件、文件管理、IDE、知识库。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设计关注：主任务是否始终占据视觉中心；导航层级是否稳定；辅助栏是否可以折叠。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移动端策略：通常需要把并列面板改为逐层进入、抽屉、底部 Sheet 或独立详情页。</w:t>
      </w:r>
    </w:p>
    <w:p>
      <w:r>
        <w:br w:type="page"/>
      </w:r>
    </w:p>
    <w:p>
      <w:pPr>
        <w:pStyle w:val="Heading2"/>
      </w:pPr>
      <w:r>
        <w:t>1.5 主从结构 Master–Detail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6217920" cy="364192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yout_master-detail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6419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rFonts w:ascii="Noto Sans CJK SC" w:hAnsi="Noto Sans CJK SC" w:eastAsia="Noto Sans CJK SC"/>
          <w:b w:val="0"/>
          <w:sz w:val="21"/>
        </w:rPr>
        <w:t>左边选对象，右边看详情，减少页面跳转。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适用：订单、联系人、任务、工单。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设计关注：主任务是否始终占据视觉中心；导航层级是否稳定；辅助栏是否可以折叠。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移动端策略：通常需要把并列面板改为逐层进入、抽屉、底部 Sheet 或独立详情页。</w:t>
      </w:r>
    </w:p>
    <w:p>
      <w:r>
        <w:br w:type="page"/>
      </w:r>
    </w:p>
    <w:p>
      <w:pPr>
        <w:pStyle w:val="Heading2"/>
      </w:pPr>
      <w:r>
        <w:t>1.6 分屏结构 Split View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6217920" cy="364192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yout_split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6419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rFonts w:ascii="Noto Sans CJK SC" w:hAnsi="Noto Sans CJK SC" w:eastAsia="Noto Sans CJK SC"/>
          <w:b w:val="0"/>
          <w:sz w:val="21"/>
        </w:rPr>
        <w:t>两个工作区并列，适合直接比较或同步编辑。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适用：对比、翻译、Diff、预览、编辑器。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设计关注：主任务是否始终占据视觉中心；导航层级是否稳定；辅助栏是否可以折叠。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移动端策略：通常需要把并列面板改为逐层进入、抽屉、底部 Sheet 或独立详情页。</w:t>
      </w:r>
    </w:p>
    <w:p>
      <w:r>
        <w:br w:type="page"/>
      </w:r>
    </w:p>
    <w:p>
      <w:pPr>
        <w:pStyle w:val="Heading2"/>
      </w:pPr>
      <w:r>
        <w:t>1.7 仪表盘 Dashboard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6217920" cy="364192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yout_dashboard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6419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rFonts w:ascii="Noto Sans CJK SC" w:hAnsi="Noto Sans CJK SC" w:eastAsia="Noto Sans CJK SC"/>
          <w:b w:val="0"/>
          <w:sz w:val="21"/>
        </w:rPr>
        <w:t>卡片化 KPI + 图表 + 数据表，强调概览与异常发现。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适用：运营、数据分析、监控。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设计关注：主任务是否始终占据视觉中心；导航层级是否稳定；辅助栏是否可以折叠。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移动端策略：通常需要把并列面板改为逐层进入、抽屉、底部 Sheet 或独立详情页。</w:t>
      </w:r>
    </w:p>
    <w:p>
      <w:r>
        <w:br w:type="page"/>
      </w:r>
    </w:p>
    <w:p>
      <w:pPr>
        <w:pStyle w:val="Heading2"/>
      </w:pPr>
      <w:r>
        <w:t>1.8 无限画布 Workspace / Canvas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6217920" cy="364192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yout_canvas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6419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rFonts w:ascii="Noto Sans CJK SC" w:hAnsi="Noto Sans CJK SC" w:eastAsia="Noto Sans CJK SC"/>
          <w:b w:val="0"/>
          <w:sz w:val="21"/>
        </w:rPr>
        <w:t>中央画布为核心，工具与属性环绕。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适用：Figma、白板、流程图、节点编辑。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设计关注：主任务是否始终占据视觉中心；导航层级是否稳定；辅助栏是否可以折叠。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移动端策略：通常需要把并列面板改为逐层进入、抽屉、底部 Sheet 或独立详情页。</w:t>
      </w:r>
    </w:p>
    <w:p>
      <w:r>
        <w:br w:type="page"/>
      </w:r>
    </w:p>
    <w:p>
      <w:pPr>
        <w:pStyle w:val="Heading2"/>
      </w:pPr>
      <w:r>
        <w:t>1.9 命令中心 Command Center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6217920" cy="364192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yout_command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6419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rFonts w:ascii="Noto Sans CJK SC" w:hAnsi="Noto Sans CJK SC" w:eastAsia="Noto Sans CJK SC"/>
          <w:b w:val="0"/>
          <w:sz w:val="21"/>
        </w:rPr>
        <w:t>搜索/命令入口成为主交互，适合键盘优先用户。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适用：效率工具、DevTools、AI 工作台。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设计关注：主任务是否始终占据视觉中心；导航层级是否稳定；辅助栏是否可以折叠。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移动端策略：通常需要把并列面板改为逐层进入、抽屉、底部 Sheet 或独立详情页。</w:t>
      </w:r>
    </w:p>
    <w:p>
      <w:r>
        <w:br w:type="page"/>
      </w:r>
    </w:p>
    <w:p>
      <w:pPr>
        <w:pStyle w:val="Heading2"/>
      </w:pPr>
      <w:r>
        <w:t>1.10 沉浸全屏 Immersive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6217920" cy="364192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yout_fullscreen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6419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rFonts w:ascii="Noto Sans CJK SC" w:hAnsi="Noto Sans CJK SC" w:eastAsia="Noto Sans CJK SC"/>
          <w:b w:val="0"/>
          <w:sz w:val="21"/>
        </w:rPr>
        <w:t>最大化内容，弱化全局导航，降低视觉干扰。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适用：视频、阅读、演示、创作。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设计关注：主任务是否始终占据视觉中心；导航层级是否稳定；辅助栏是否可以折叠。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移动端策略：通常需要把并列面板改为逐层进入、抽屉、底部 Sheet 或独立详情页。</w:t>
      </w:r>
    </w:p>
    <w:p>
      <w:r>
        <w:br w:type="page"/>
      </w:r>
    </w:p>
    <w:p>
      <w:pPr>
        <w:pStyle w:val="Heading2"/>
      </w:pPr>
      <w:r>
        <w:t>1.11 向导 Wizard / Stepper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6217920" cy="364192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yout_wizard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6419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rFonts w:ascii="Noto Sans CJK SC" w:hAnsi="Noto Sans CJK SC" w:eastAsia="Noto Sans CJK SC"/>
          <w:b w:val="0"/>
          <w:sz w:val="21"/>
        </w:rPr>
        <w:t>把复杂任务拆成若干有顺序的步骤。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适用：安装、开户、复杂配置、创建流程。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设计关注：主任务是否始终占据视觉中心；导航层级是否稳定；辅助栏是否可以折叠。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移动端策略：通常需要把并列面板改为逐层进入、抽屉、底部 Sheet 或独立详情页。</w:t>
      </w:r>
    </w:p>
    <w:p>
      <w:r>
        <w:br w:type="page"/>
      </w:r>
    </w:p>
    <w:p>
      <w:pPr>
        <w:pStyle w:val="Heading2"/>
      </w:pPr>
      <w:r>
        <w:t>1.12 信息流 Feed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6217920" cy="364192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yout_feed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6419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rFonts w:ascii="Noto Sans CJK SC" w:hAnsi="Noto Sans CJK SC" w:eastAsia="Noto Sans CJK SC"/>
          <w:b w:val="0"/>
          <w:sz w:val="21"/>
        </w:rPr>
        <w:t>围绕连续内容消费设计，常配推荐与辅助栏。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适用：社区、动态、资讯、通知。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设计关注：主任务是否始终占据视觉中心；导航层级是否稳定；辅助栏是否可以折叠。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移动端策略：通常需要把并列面板改为逐层进入、抽屉、底部 Sheet 或独立详情页。</w:t>
      </w:r>
    </w:p>
    <w:p>
      <w:r>
        <w:br w:type="page"/>
      </w:r>
    </w:p>
    <w:p>
      <w:pPr>
        <w:pStyle w:val="Heading2"/>
      </w:pPr>
      <w:r>
        <w:t>1.13 聊天式 Chat UI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6217920" cy="364192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yout_chat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6419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rFonts w:ascii="Noto Sans CJK SC" w:hAnsi="Noto Sans CJK SC" w:eastAsia="Noto Sans CJK SC"/>
          <w:b w:val="0"/>
          <w:sz w:val="21"/>
        </w:rPr>
        <w:t>对话流 + 输入框是主要结构，适合时序交互。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适用：AI 助手、客服、IM。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设计关注：主任务是否始终占据视觉中心；导航层级是否稳定；辅助栏是否可以折叠。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移动端策略：通常需要把并列面板改为逐层进入、抽屉、底部 Sheet 或独立详情页。</w:t>
      </w:r>
    </w:p>
    <w:p>
      <w:r>
        <w:br w:type="page"/>
      </w:r>
    </w:p>
    <w:p>
      <w:pPr>
        <w:pStyle w:val="Heading2"/>
      </w:pPr>
      <w:r>
        <w:t>1.14 看板 Kanban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6217920" cy="364192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yout_kanban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6419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rFonts w:ascii="Noto Sans CJK SC" w:hAnsi="Noto Sans CJK SC" w:eastAsia="Noto Sans CJK SC"/>
          <w:b w:val="0"/>
          <w:sz w:val="21"/>
        </w:rPr>
        <w:t>状态即列，卡片在列间移动，强调流程。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适用：项目管理、销售管道、审批。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设计关注：主任务是否始终占据视觉中心；导航层级是否稳定；辅助栏是否可以折叠。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移动端策略：通常需要把并列面板改为逐层进入、抽屉、底部 Sheet 或独立详情页。</w:t>
      </w:r>
    </w:p>
    <w:p>
      <w:r>
        <w:br w:type="page"/>
      </w:r>
    </w:p>
    <w:p>
      <w:pPr>
        <w:pStyle w:val="Heading2"/>
      </w:pPr>
      <w:r>
        <w:t>1.15 日历 Calendar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6217920" cy="364192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yout_calendar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6419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rFonts w:ascii="Noto Sans CJK SC" w:hAnsi="Noto Sans CJK SC" w:eastAsia="Noto Sans CJK SC"/>
          <w:b w:val="0"/>
          <w:sz w:val="21"/>
        </w:rPr>
        <w:t>用时间轴或网格表达任务、事件和冲突。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适用：排期、日程、资源预订。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设计关注：主任务是否始终占据视觉中心；导航层级是否稳定；辅助栏是否可以折叠。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移动端策略：通常需要把并列面板改为逐层进入、抽屉、底部 Sheet 或独立详情页。</w:t>
      </w:r>
    </w:p>
    <w:p>
      <w:r>
        <w:br w:type="page"/>
      </w:r>
    </w:p>
    <w:p>
      <w:pPr>
        <w:pStyle w:val="Heading2"/>
      </w:pPr>
      <w:r>
        <w:t>1.16 数据表格 Data Table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6217920" cy="364192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yout_tabl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6419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rFonts w:ascii="Noto Sans CJK SC" w:hAnsi="Noto Sans CJK SC" w:eastAsia="Noto Sans CJK SC"/>
          <w:b w:val="0"/>
          <w:sz w:val="21"/>
        </w:rPr>
        <w:t>高密度结构化数据，需排序、筛选、批量操作。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适用：财务、CRM、管理后台。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设计关注：主任务是否始终占据视觉中心；导航层级是否稳定；辅助栏是否可以折叠。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移动端策略：通常需要把并列面板改为逐层进入、抽屉、底部 Sheet 或独立详情页。</w:t>
      </w:r>
    </w:p>
    <w:p>
      <w:r>
        <w:br w:type="page"/>
      </w:r>
    </w:p>
    <w:p>
      <w:pPr>
        <w:pStyle w:val="Heading2"/>
      </w:pPr>
      <w:r>
        <w:t>1.17 IDE / 编辑器型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6217920" cy="364192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yout_ide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6419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rFonts w:ascii="Noto Sans CJK SC" w:hAnsi="Noto Sans CJK SC" w:eastAsia="Noto Sans CJK SC"/>
          <w:b w:val="0"/>
          <w:sz w:val="21"/>
        </w:rPr>
        <w:t>文件树 + 主编辑器 + 辅助面板，多面板高密度布局。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适用：代码、建模、专业创作软件。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设计关注：主任务是否始终占据视觉中心；导航层级是否稳定；辅助栏是否可以折叠。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移动端策略：通常需要把并列面板改为逐层进入、抽屉、底部 Sheet 或独立详情页。</w:t>
      </w:r>
    </w:p>
    <w:p>
      <w:r>
        <w:br w:type="page"/>
      </w:r>
    </w:p>
    <w:p>
      <w:pPr>
        <w:pStyle w:val="Heading2"/>
      </w:pPr>
      <w:r>
        <w:t>1.18 三栏技术文档 Docs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6217920" cy="364192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yout_docs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6419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rFonts w:ascii="Noto Sans CJK SC" w:hAnsi="Noto Sans CJK SC" w:eastAsia="Noto Sans CJK SC"/>
          <w:b w:val="0"/>
          <w:sz w:val="21"/>
        </w:rPr>
        <w:t>左侧文档树，中间正文，右侧页内目录。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适用：开发者文档、知识库、产品手册。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设计关注：主任务是否始终占据视觉中心；导航层级是否稳定；辅助栏是否可以折叠。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移动端策略：通常需要把并列面板改为逐层进入、抽屉、底部 Sheet 或独立详情页。</w:t>
      </w:r>
    </w:p>
    <w:p>
      <w:r>
        <w:br w:type="page"/>
      </w:r>
    </w:p>
    <w:p>
      <w:pPr>
        <w:pStyle w:val="Heading1"/>
      </w:pPr>
      <w:r>
        <w:t>02｜导航结构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6217920" cy="364192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avigation_patterns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6419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rFonts w:ascii="Noto Sans CJK SC" w:hAnsi="Noto Sans CJK SC" w:eastAsia="Noto Sans CJK SC"/>
          <w:b w:val="0"/>
          <w:sz w:val="21"/>
        </w:rPr>
        <w:t>导航解决“我在哪里、还能去哪里、返回路径是什么”。软件产品通常同时存在全局导航、局部导航、层级导航和效率导航。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578"/>
        <w:gridCol w:w="2578"/>
        <w:gridCol w:w="2578"/>
        <w:gridCol w:w="2578"/>
      </w:tblGrid>
      <w:tr>
        <w:tc>
          <w:tcPr>
            <w:tcW w:type="dxa" w:w="2578"/>
            <w:vAlign w:val="center"/>
            <w:shd w:fill="2F70F6"/>
          </w:tcPr>
          <w:p>
            <w:r/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2578"/>
            <w:vAlign w:val="center"/>
            <w:shd w:fill="2F70F6"/>
          </w:tcPr>
          <w:p>
            <w:r/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中文</w:t>
            </w:r>
          </w:p>
        </w:tc>
        <w:tc>
          <w:tcPr>
            <w:tcW w:type="dxa" w:w="2578"/>
            <w:vAlign w:val="center"/>
            <w:shd w:fill="2F70F6"/>
          </w:tcPr>
          <w:p>
            <w:r/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适合</w:t>
            </w:r>
          </w:p>
        </w:tc>
        <w:tc>
          <w:tcPr>
            <w:tcW w:type="dxa" w:w="2578"/>
            <w:vAlign w:val="center"/>
            <w:shd w:fill="2F70F6"/>
          </w:tcPr>
          <w:p>
            <w:r/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不要用于</w:t>
            </w:r>
          </w:p>
        </w:tc>
      </w:tr>
      <w:tr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Top Nav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顶部导航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一级入口较少、内容型产品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与任务层级不匹配时会制造迷路/跳转成本</w:t>
            </w:r>
          </w:p>
        </w:tc>
      </w:tr>
      <w:tr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Sidebar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侧边导航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SaaS/后台/多模块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与任务层级不匹配时会制造迷路/跳转成本</w:t>
            </w:r>
          </w:p>
        </w:tc>
      </w:tr>
      <w:tr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Bottom Navigation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底部导航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移动端 3–5 个核心入口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与任务层级不匹配时会制造迷路/跳转成本</w:t>
            </w:r>
          </w:p>
        </w:tc>
      </w:tr>
      <w:tr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Navigation Rail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导航轨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平板/桌面窄侧栏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与任务层级不匹配时会制造迷路/跳转成本</w:t>
            </w:r>
          </w:p>
        </w:tc>
      </w:tr>
      <w:tr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Tabs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标签页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同一上下文中的平级视图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与任务层级不匹配时会制造迷路/跳转成本</w:t>
            </w:r>
          </w:p>
        </w:tc>
      </w:tr>
      <w:tr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Segmented Control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分段控件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2–5 个轻量互斥视图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与任务层级不匹配时会制造迷路/跳转成本</w:t>
            </w:r>
          </w:p>
        </w:tc>
      </w:tr>
      <w:tr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Breadcrumb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面包屑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多层级信息架构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与任务层级不匹配时会制造迷路/跳转成本</w:t>
            </w:r>
          </w:p>
        </w:tc>
      </w:tr>
      <w:tr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Tree Navigation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树形导航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文件、文档、组织层级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与任务层级不匹配时会制造迷路/跳转成本</w:t>
            </w:r>
          </w:p>
        </w:tc>
      </w:tr>
      <w:tr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Drawer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抽屉导航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空间受限或低频入口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与任务层级不匹配时会制造迷路/跳转成本</w:t>
            </w:r>
          </w:p>
        </w:tc>
      </w:tr>
      <w:tr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Command Palette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命令面板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效率用户、键盘优先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与任务层级不匹配时会制造迷路/跳转成本</w:t>
            </w:r>
          </w:p>
        </w:tc>
      </w:tr>
      <w:tr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Stepper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步骤导航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强顺序流程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与任务层级不匹配时会制造迷路/跳转成本</w:t>
            </w:r>
          </w:p>
        </w:tc>
      </w:tr>
      <w:tr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Pagination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分页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可定位、可回访的数据列表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与任务层级不匹配时会制造迷路/跳转成本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EEF4FF"/>
          </w:tcPr>
          <w:p>
            <w:r>
              <w:rPr>
                <w:b/>
                <w:color w:val="2F70F6"/>
                <w:sz w:val="21"/>
              </w:rPr>
              <w:t xml:space="preserve">导航选择原则  </w:t>
            </w:r>
            <w:r>
              <w:rPr>
                <w:sz w:val="21"/>
              </w:rPr>
              <w:t>高频入口要近，层级关系要稳定，用户不应为了“看更多”而不断被迫返回上一级。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03｜内容与数据呈现布局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6217920" cy="3641925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ntent_patterns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6419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rFonts w:ascii="Noto Sans CJK SC" w:hAnsi="Noto Sans CJK SC" w:eastAsia="Noto Sans CJK SC"/>
          <w:b w:val="0"/>
          <w:sz w:val="21"/>
        </w:rPr>
        <w:t>同一批数据可以用列表、表格、卡片、画廊或时间线表达。关键不是审美，而是用户主要任务：扫描、比较、排序、识别图像、理解时间关系，还是查看详情。</w:t>
      </w:r>
    </w:p>
    <w:p>
      <w:pPr>
        <w:spacing w:after="40"/>
      </w:pPr>
      <w:r>
        <w:rPr>
          <w:rFonts w:ascii="Noto Sans CJK SC" w:hAnsi="Noto Sans CJK SC" w:eastAsia="Noto Sans CJK SC"/>
          <w:b w:val="0"/>
          <w:sz w:val="20"/>
        </w:rPr>
        <w:t>• 列表（List）— 线性扫描、移动端</w:t>
      </w:r>
    </w:p>
    <w:p>
      <w:pPr>
        <w:spacing w:after="40"/>
      </w:pPr>
      <w:r>
        <w:rPr>
          <w:rFonts w:ascii="Noto Sans CJK SC" w:hAnsi="Noto Sans CJK SC" w:eastAsia="Noto Sans CJK SC"/>
          <w:b w:val="0"/>
          <w:sz w:val="20"/>
        </w:rPr>
        <w:t>• 卡片网格（Card Grid）— 对象识别、信息摘要</w:t>
      </w:r>
    </w:p>
    <w:p>
      <w:pPr>
        <w:spacing w:after="40"/>
      </w:pPr>
      <w:r>
        <w:rPr>
          <w:rFonts w:ascii="Noto Sans CJK SC" w:hAnsi="Noto Sans CJK SC" w:eastAsia="Noto Sans CJK SC"/>
          <w:b w:val="0"/>
          <w:sz w:val="20"/>
        </w:rPr>
        <w:t>• Bento 网格（Bento）— 模块化首页、产品概览</w:t>
      </w:r>
    </w:p>
    <w:p>
      <w:pPr>
        <w:spacing w:after="40"/>
      </w:pPr>
      <w:r>
        <w:rPr>
          <w:rFonts w:ascii="Noto Sans CJK SC" w:hAnsi="Noto Sans CJK SC" w:eastAsia="Noto Sans CJK SC"/>
          <w:b w:val="0"/>
          <w:sz w:val="20"/>
        </w:rPr>
        <w:t>• 瀑布流（Masonry）— 图片高度不一致</w:t>
      </w:r>
    </w:p>
    <w:p>
      <w:pPr>
        <w:spacing w:after="40"/>
      </w:pPr>
      <w:r>
        <w:rPr>
          <w:rFonts w:ascii="Noto Sans CJK SC" w:hAnsi="Noto Sans CJK SC" w:eastAsia="Noto Sans CJK SC"/>
          <w:b w:val="0"/>
          <w:sz w:val="20"/>
        </w:rPr>
        <w:t>• 画廊（Gallery）— 视觉素材</w:t>
      </w:r>
    </w:p>
    <w:p>
      <w:pPr>
        <w:spacing w:after="40"/>
      </w:pPr>
      <w:r>
        <w:rPr>
          <w:rFonts w:ascii="Noto Sans CJK SC" w:hAnsi="Noto Sans CJK SC" w:eastAsia="Noto Sans CJK SC"/>
          <w:b w:val="0"/>
          <w:sz w:val="20"/>
        </w:rPr>
        <w:t>• 时间线（Timeline）— 事件、版本、进度</w:t>
      </w:r>
    </w:p>
    <w:p>
      <w:pPr>
        <w:spacing w:after="40"/>
      </w:pPr>
      <w:r>
        <w:rPr>
          <w:rFonts w:ascii="Noto Sans CJK SC" w:hAnsi="Noto Sans CJK SC" w:eastAsia="Noto Sans CJK SC"/>
          <w:b w:val="0"/>
          <w:sz w:val="20"/>
        </w:rPr>
        <w:t>• 树（Tree）— 层级数据</w:t>
      </w:r>
    </w:p>
    <w:p>
      <w:pPr>
        <w:spacing w:after="40"/>
      </w:pPr>
      <w:r>
        <w:rPr>
          <w:rFonts w:ascii="Noto Sans CJK SC" w:hAnsi="Noto Sans CJK SC" w:eastAsia="Noto Sans CJK SC"/>
          <w:b w:val="0"/>
          <w:sz w:val="20"/>
        </w:rPr>
        <w:t>• 表格（Table）— 高密度比较/排序</w:t>
      </w:r>
    </w:p>
    <w:p>
      <w:pPr>
        <w:spacing w:after="40"/>
      </w:pPr>
      <w:r>
        <w:rPr>
          <w:rFonts w:ascii="Noto Sans CJK SC" w:hAnsi="Noto Sans CJK SC" w:eastAsia="Noto Sans CJK SC"/>
          <w:b w:val="0"/>
          <w:sz w:val="20"/>
        </w:rPr>
        <w:t>• 手风琴（Accordion）— 折叠长内容</w:t>
      </w:r>
    </w:p>
    <w:p>
      <w:pPr>
        <w:spacing w:after="40"/>
      </w:pPr>
      <w:r>
        <w:rPr>
          <w:rFonts w:ascii="Noto Sans CJK SC" w:hAnsi="Noto Sans CJK SC" w:eastAsia="Noto Sans CJK SC"/>
          <w:b w:val="0"/>
          <w:sz w:val="20"/>
        </w:rPr>
        <w:t>• 轮播（Carousel）— 有限空间中的候选内容</w:t>
      </w:r>
    </w:p>
    <w:p>
      <w:pPr>
        <w:spacing w:after="40"/>
      </w:pPr>
      <w:r>
        <w:rPr>
          <w:rFonts w:ascii="Noto Sans CJK SC" w:hAnsi="Noto Sans CJK SC" w:eastAsia="Noto Sans CJK SC"/>
          <w:b w:val="0"/>
          <w:sz w:val="20"/>
        </w:rPr>
        <w:t>• 指标卡（KPI Cards）— 快速概览</w:t>
      </w:r>
    </w:p>
    <w:p>
      <w:pPr>
        <w:spacing w:after="40"/>
      </w:pPr>
      <w:r>
        <w:rPr>
          <w:rFonts w:ascii="Noto Sans CJK SC" w:hAnsi="Noto Sans CJK SC" w:eastAsia="Noto Sans CJK SC"/>
          <w:b w:val="0"/>
          <w:sz w:val="20"/>
        </w:rPr>
        <w:t>• 详情面板（Detail Panel）— 列表上下文中查看对象</w:t>
      </w:r>
    </w:p>
    <w:p>
      <w:r>
        <w:br w:type="page"/>
      </w:r>
    </w:p>
    <w:p>
      <w:pPr>
        <w:pStyle w:val="Heading1"/>
      </w:pPr>
      <w:r>
        <w:t>04｜表单布局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6217920" cy="3641925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orm_patterns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6419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rFonts w:ascii="Noto Sans CJK SC" w:hAnsi="Noto Sans CJK SC" w:eastAsia="Noto Sans CJK SC"/>
          <w:b w:val="0"/>
          <w:sz w:val="21"/>
        </w:rPr>
        <w:t>表单的目标不是“把字段放进去”，而是降低完成任务的认知负荷、错误率和来回移动。大多数业务表单优先从单列开始，再按信息关系决定是否分组、双列或分步。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vAlign w:val="center"/>
            <w:shd w:fill="2F70F6"/>
          </w:tcPr>
          <w:p>
            <w:r/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布局</w:t>
            </w:r>
          </w:p>
        </w:tc>
        <w:tc>
          <w:tcPr>
            <w:tcW w:type="dxa" w:w="3437"/>
            <w:vAlign w:val="center"/>
            <w:shd w:fill="2F70F6"/>
          </w:tcPr>
          <w:p>
            <w:r/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优势</w:t>
            </w:r>
          </w:p>
        </w:tc>
        <w:tc>
          <w:tcPr>
            <w:tcW w:type="dxa" w:w="3437"/>
            <w:vAlign w:val="center"/>
            <w:shd w:fill="2F70F6"/>
          </w:tcPr>
          <w:p>
            <w:r/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主要风险</w:t>
            </w:r>
          </w:p>
        </w:tc>
      </w:tr>
      <w:tr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单列</w:t>
            </w:r>
          </w:p>
        </w:tc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最稳妥，阅读路径清晰</w:t>
            </w:r>
          </w:p>
        </w:tc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字段顺序、验证时机、移动端重排</w:t>
            </w:r>
          </w:p>
        </w:tc>
      </w:tr>
      <w:tr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双列</w:t>
            </w:r>
          </w:p>
        </w:tc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字段短且逻辑成对时使用</w:t>
            </w:r>
          </w:p>
        </w:tc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字段顺序、验证时机、移动端重排</w:t>
            </w:r>
          </w:p>
        </w:tc>
      </w:tr>
      <w:tr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行内</w:t>
            </w:r>
          </w:p>
        </w:tc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搜索、筛选、短配置</w:t>
            </w:r>
          </w:p>
        </w:tc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字段顺序、验证时机、移动端重排</w:t>
            </w:r>
          </w:p>
        </w:tc>
      </w:tr>
      <w:tr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左标签</w:t>
            </w:r>
          </w:p>
        </w:tc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桌面高密度后台</w:t>
            </w:r>
          </w:p>
        </w:tc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字段顺序、验证时机、移动端重排</w:t>
            </w:r>
          </w:p>
        </w:tc>
      </w:tr>
      <w:tr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上置标签</w:t>
            </w:r>
          </w:p>
        </w:tc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移动端与长标签</w:t>
            </w:r>
          </w:p>
        </w:tc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字段顺序、验证时机、移动端重排</w:t>
            </w:r>
          </w:p>
        </w:tc>
      </w:tr>
      <w:tr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分组 Section</w:t>
            </w:r>
          </w:p>
        </w:tc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长表单按语义分块</w:t>
            </w:r>
          </w:p>
        </w:tc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字段顺序、验证时机、移动端重排</w:t>
            </w:r>
          </w:p>
        </w:tc>
      </w:tr>
      <w:tr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渐进披露</w:t>
            </w:r>
          </w:p>
        </w:tc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高级选项低频</w:t>
            </w:r>
          </w:p>
        </w:tc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字段顺序、验证时机、移动端重排</w:t>
            </w:r>
          </w:p>
        </w:tc>
      </w:tr>
      <w:tr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Wizard</w:t>
            </w:r>
          </w:p>
        </w:tc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复杂流程、跨步骤校验</w:t>
            </w:r>
          </w:p>
        </w:tc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字段顺序、验证时机、移动端重排</w:t>
            </w:r>
          </w:p>
        </w:tc>
      </w:tr>
      <w:tr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Settings</w:t>
            </w:r>
          </w:p>
        </w:tc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名称 + 控件的参数设置</w:t>
            </w:r>
          </w:p>
        </w:tc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字段顺序、验证时机、移动端重排</w:t>
            </w:r>
          </w:p>
        </w:tc>
      </w:tr>
      <w:tr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Search + Filter</w:t>
            </w:r>
          </w:p>
        </w:tc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搜索与多条件过滤</w:t>
            </w:r>
          </w:p>
        </w:tc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字段顺序、验证时机、移动端重排</w:t>
            </w:r>
          </w:p>
        </w:tc>
      </w:tr>
      <w:tr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Bulk Edit</w:t>
            </w:r>
          </w:p>
        </w:tc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多对象统一修改</w:t>
            </w:r>
          </w:p>
        </w:tc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字段顺序、验证时机、移动端重排</w:t>
            </w:r>
          </w:p>
        </w:tc>
      </w:tr>
      <w:tr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Inline Edit</w:t>
            </w:r>
          </w:p>
        </w:tc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无需跳详情即可快速修改</w:t>
            </w:r>
          </w:p>
        </w:tc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字段顺序、验证时机、移动端重排</w:t>
            </w:r>
          </w:p>
        </w:tc>
      </w:tr>
    </w:tbl>
    <w:p>
      <w:r>
        <w:br w:type="page"/>
      </w:r>
    </w:p>
    <w:p>
      <w:pPr>
        <w:pStyle w:val="Heading1"/>
      </w:pPr>
      <w:r>
        <w:t>05｜按钮组件：类型、层级与组合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6217920" cy="3641925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utton_patterns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6419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rFonts w:ascii="Noto Sans CJK SC" w:hAnsi="Noto Sans CJK SC" w:eastAsia="Noto Sans CJK SC"/>
          <w:b w:val="0"/>
          <w:sz w:val="21"/>
        </w:rPr>
        <w:t>按钮代表“立即执行动作”。一个界面不应该同时出现多个视觉强度相同的主按钮。按钮体系必须先定义动作层级，再定义尺寸、圆角、图标和颜色。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vAlign w:val="center"/>
            <w:shd w:fill="2F70F6"/>
          </w:tcPr>
          <w:p>
            <w:r/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3437"/>
            <w:vAlign w:val="center"/>
            <w:shd w:fill="2F70F6"/>
          </w:tcPr>
          <w:p>
            <w:r/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用途</w:t>
            </w:r>
          </w:p>
        </w:tc>
        <w:tc>
          <w:tcPr>
            <w:tcW w:type="dxa" w:w="3437"/>
            <w:vAlign w:val="center"/>
            <w:shd w:fill="2F70F6"/>
          </w:tcPr>
          <w:p>
            <w:r/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关键规则</w:t>
            </w:r>
          </w:p>
        </w:tc>
      </w:tr>
      <w:tr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Primary</w:t>
            </w:r>
          </w:p>
        </w:tc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页面最重要的单一动作</w:t>
            </w:r>
          </w:p>
        </w:tc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高视觉权重</w:t>
            </w:r>
          </w:p>
        </w:tc>
      </w:tr>
      <w:tr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Secondary</w:t>
            </w:r>
          </w:p>
        </w:tc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次级动作</w:t>
            </w:r>
          </w:p>
        </w:tc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较弱底色或描边</w:t>
            </w:r>
          </w:p>
        </w:tc>
      </w:tr>
      <w:tr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Tertiary/Text</w:t>
            </w:r>
          </w:p>
        </w:tc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低风险低频动作</w:t>
            </w:r>
          </w:p>
        </w:tc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文字化</w:t>
            </w:r>
          </w:p>
        </w:tc>
      </w:tr>
      <w:tr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Ghost</w:t>
            </w:r>
          </w:p>
        </w:tc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工具栏、轻操作</w:t>
            </w:r>
          </w:p>
        </w:tc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透明背景</w:t>
            </w:r>
          </w:p>
        </w:tc>
      </w:tr>
      <w:tr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Destructive</w:t>
            </w:r>
          </w:p>
        </w:tc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删除、清空</w:t>
            </w:r>
          </w:p>
        </w:tc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危险色 + 二次确认按场景</w:t>
            </w:r>
          </w:p>
        </w:tc>
      </w:tr>
      <w:tr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Icon Button</w:t>
            </w:r>
          </w:p>
        </w:tc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空间紧凑工具栏</w:t>
            </w:r>
          </w:p>
        </w:tc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必须有 tooltip/aria-label</w:t>
            </w:r>
          </w:p>
        </w:tc>
      </w:tr>
      <w:tr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FAB</w:t>
            </w:r>
          </w:p>
        </w:tc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移动端核心创建动作</w:t>
            </w:r>
          </w:p>
        </w:tc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悬浮圆形</w:t>
            </w:r>
          </w:p>
        </w:tc>
      </w:tr>
      <w:tr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Split Button</w:t>
            </w:r>
          </w:p>
        </w:tc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主动作 + 变体菜单</w:t>
            </w:r>
          </w:p>
        </w:tc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避免把多个按钮并排</w:t>
            </w:r>
          </w:p>
        </w:tc>
      </w:tr>
      <w:tr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Toggle Button</w:t>
            </w:r>
          </w:p>
        </w:tc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按钮本身有开/关或选中状态</w:t>
            </w:r>
          </w:p>
        </w:tc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需明确 selected</w:t>
            </w:r>
          </w:p>
        </w:tc>
      </w:tr>
      <w:tr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Loading Button</w:t>
            </w:r>
          </w:p>
        </w:tc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异步提交</w:t>
            </w:r>
          </w:p>
        </w:tc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避免重复提交</w:t>
            </w:r>
          </w:p>
        </w:tc>
      </w:tr>
      <w:tr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Button Group</w:t>
            </w:r>
          </w:p>
        </w:tc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相关动作成组</w:t>
            </w:r>
          </w:p>
        </w:tc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视觉边界统一</w:t>
            </w:r>
          </w:p>
        </w:tc>
      </w:tr>
      <w:tr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CTA</w:t>
            </w:r>
          </w:p>
        </w:tc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营销/转化主行动</w:t>
            </w:r>
          </w:p>
        </w:tc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通常尺寸更大、文案更明确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EEF4FF"/>
          </w:tcPr>
          <w:p>
            <w:r>
              <w:rPr>
                <w:b/>
                <w:color w:val="2F70F6"/>
                <w:sz w:val="21"/>
              </w:rPr>
              <w:t xml:space="preserve">按钮尺寸建议  </w:t>
            </w:r>
            <w:r>
              <w:rPr>
                <w:sz w:val="21"/>
              </w:rPr>
              <w:t>桌面高频按钮通常至少 32–40px 高；触摸设备应优先保证约 44×44 CSS px 的可点击目标，而不是只看视觉图标大小。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06｜输入与选择组件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6217920" cy="3641925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put_patterns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6419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rFonts w:ascii="Noto Sans CJK SC" w:hAnsi="Noto Sans CJK SC" w:eastAsia="Noto Sans CJK SC"/>
          <w:b w:val="0"/>
          <w:sz w:val="21"/>
        </w:rPr>
        <w:t>输入组件要根据数据类型选择，而不是为了“好看”随意替换。自由文本、有限枚举、布尔值、范围、日期时间和文件都需要不同控件。</w:t>
      </w:r>
    </w:p>
    <w:p>
      <w:pPr>
        <w:spacing w:after="40"/>
      </w:pPr>
      <w:r>
        <w:rPr>
          <w:rFonts w:ascii="Noto Sans CJK SC" w:hAnsi="Noto Sans CJK SC" w:eastAsia="Noto Sans CJK SC"/>
          <w:b w:val="0"/>
          <w:sz w:val="20"/>
        </w:rPr>
        <w:t>• Text Field — 短文本</w:t>
      </w:r>
    </w:p>
    <w:p>
      <w:pPr>
        <w:spacing w:after="40"/>
      </w:pPr>
      <w:r>
        <w:rPr>
          <w:rFonts w:ascii="Noto Sans CJK SC" w:hAnsi="Noto Sans CJK SC" w:eastAsia="Noto Sans CJK SC"/>
          <w:b w:val="0"/>
          <w:sz w:val="20"/>
        </w:rPr>
        <w:t>• Search — 搜索 + 清除 + 建议</w:t>
      </w:r>
    </w:p>
    <w:p>
      <w:pPr>
        <w:spacing w:after="40"/>
      </w:pPr>
      <w:r>
        <w:rPr>
          <w:rFonts w:ascii="Noto Sans CJK SC" w:hAnsi="Noto Sans CJK SC" w:eastAsia="Noto Sans CJK SC"/>
          <w:b w:val="0"/>
          <w:sz w:val="20"/>
        </w:rPr>
        <w:t>• Password — 密码 + 显隐</w:t>
      </w:r>
    </w:p>
    <w:p>
      <w:pPr>
        <w:spacing w:after="40"/>
      </w:pPr>
      <w:r>
        <w:rPr>
          <w:rFonts w:ascii="Noto Sans CJK SC" w:hAnsi="Noto Sans CJK SC" w:eastAsia="Noto Sans CJK SC"/>
          <w:b w:val="0"/>
          <w:sz w:val="20"/>
        </w:rPr>
        <w:t>• Number — 数字 + 边界</w:t>
      </w:r>
    </w:p>
    <w:p>
      <w:pPr>
        <w:spacing w:after="40"/>
      </w:pPr>
      <w:r>
        <w:rPr>
          <w:rFonts w:ascii="Noto Sans CJK SC" w:hAnsi="Noto Sans CJK SC" w:eastAsia="Noto Sans CJK SC"/>
          <w:b w:val="0"/>
          <w:sz w:val="20"/>
        </w:rPr>
        <w:t>• Textarea — 长文本</w:t>
      </w:r>
    </w:p>
    <w:p>
      <w:pPr>
        <w:spacing w:after="40"/>
      </w:pPr>
      <w:r>
        <w:rPr>
          <w:rFonts w:ascii="Noto Sans CJK SC" w:hAnsi="Noto Sans CJK SC" w:eastAsia="Noto Sans CJK SC"/>
          <w:b w:val="0"/>
          <w:sz w:val="20"/>
        </w:rPr>
        <w:t>• Select — 有限单选</w:t>
      </w:r>
    </w:p>
    <w:p>
      <w:pPr>
        <w:spacing w:after="40"/>
      </w:pPr>
      <w:r>
        <w:rPr>
          <w:rFonts w:ascii="Noto Sans CJK SC" w:hAnsi="Noto Sans CJK SC" w:eastAsia="Noto Sans CJK SC"/>
          <w:b w:val="0"/>
          <w:sz w:val="20"/>
        </w:rPr>
        <w:t>• Combobox — 可搜索枚举</w:t>
      </w:r>
    </w:p>
    <w:p>
      <w:pPr>
        <w:spacing w:after="40"/>
      </w:pPr>
      <w:r>
        <w:rPr>
          <w:rFonts w:ascii="Noto Sans CJK SC" w:hAnsi="Noto Sans CJK SC" w:eastAsia="Noto Sans CJK SC"/>
          <w:b w:val="0"/>
          <w:sz w:val="20"/>
        </w:rPr>
        <w:t>• Checkbox — 多个独立布尔选项</w:t>
      </w:r>
    </w:p>
    <w:p>
      <w:pPr>
        <w:spacing w:after="40"/>
      </w:pPr>
      <w:r>
        <w:rPr>
          <w:rFonts w:ascii="Noto Sans CJK SC" w:hAnsi="Noto Sans CJK SC" w:eastAsia="Noto Sans CJK SC"/>
          <w:b w:val="0"/>
          <w:sz w:val="20"/>
        </w:rPr>
        <w:t>• Radio — 少量互斥单选</w:t>
      </w:r>
    </w:p>
    <w:p>
      <w:pPr>
        <w:spacing w:after="40"/>
      </w:pPr>
      <w:r>
        <w:rPr>
          <w:rFonts w:ascii="Noto Sans CJK SC" w:hAnsi="Noto Sans CJK SC" w:eastAsia="Noto Sans CJK SC"/>
          <w:b w:val="0"/>
          <w:sz w:val="20"/>
        </w:rPr>
        <w:t>• Switch — 即时生效的二元设置</w:t>
      </w:r>
    </w:p>
    <w:p>
      <w:pPr>
        <w:spacing w:after="40"/>
      </w:pPr>
      <w:r>
        <w:rPr>
          <w:rFonts w:ascii="Noto Sans CJK SC" w:hAnsi="Noto Sans CJK SC" w:eastAsia="Noto Sans CJK SC"/>
          <w:b w:val="0"/>
          <w:sz w:val="20"/>
        </w:rPr>
        <w:t>• Slider — 连续范围</w:t>
      </w:r>
    </w:p>
    <w:p>
      <w:pPr>
        <w:spacing w:after="40"/>
      </w:pPr>
      <w:r>
        <w:rPr>
          <w:rFonts w:ascii="Noto Sans CJK SC" w:hAnsi="Noto Sans CJK SC" w:eastAsia="Noto Sans CJK SC"/>
          <w:b w:val="0"/>
          <w:sz w:val="20"/>
        </w:rPr>
        <w:t>• Date Picker — 日期</w:t>
      </w:r>
    </w:p>
    <w:p>
      <w:pPr>
        <w:spacing w:after="40"/>
      </w:pPr>
      <w:r>
        <w:rPr>
          <w:rFonts w:ascii="Noto Sans CJK SC" w:hAnsi="Noto Sans CJK SC" w:eastAsia="Noto Sans CJK SC"/>
          <w:b w:val="0"/>
          <w:sz w:val="20"/>
        </w:rPr>
        <w:t>• Time Picker — 时间</w:t>
      </w:r>
    </w:p>
    <w:p>
      <w:pPr>
        <w:spacing w:after="40"/>
      </w:pPr>
      <w:r>
        <w:rPr>
          <w:rFonts w:ascii="Noto Sans CJK SC" w:hAnsi="Noto Sans CJK SC" w:eastAsia="Noto Sans CJK SC"/>
          <w:b w:val="0"/>
          <w:sz w:val="20"/>
        </w:rPr>
        <w:t>• Chips/Tags — 标签与轻量多选</w:t>
      </w:r>
    </w:p>
    <w:p>
      <w:pPr>
        <w:spacing w:after="40"/>
      </w:pPr>
      <w:r>
        <w:rPr>
          <w:rFonts w:ascii="Noto Sans CJK SC" w:hAnsi="Noto Sans CJK SC" w:eastAsia="Noto Sans CJK SC"/>
          <w:b w:val="0"/>
          <w:sz w:val="20"/>
        </w:rPr>
        <w:t>• Stepper Input — 增减数值</w:t>
      </w:r>
    </w:p>
    <w:p>
      <w:pPr>
        <w:spacing w:after="40"/>
      </w:pPr>
      <w:r>
        <w:rPr>
          <w:rFonts w:ascii="Noto Sans CJK SC" w:hAnsi="Noto Sans CJK SC" w:eastAsia="Noto Sans CJK SC"/>
          <w:b w:val="0"/>
          <w:sz w:val="20"/>
        </w:rPr>
        <w:t>• File Upload — 文件选择/拖放</w:t>
      </w:r>
    </w:p>
    <w:p>
      <w:r>
        <w:br w:type="page"/>
      </w:r>
    </w:p>
    <w:p>
      <w:pPr>
        <w:pStyle w:val="Heading1"/>
      </w:pPr>
      <w:r>
        <w:t>07｜反馈、状态与覆盖层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6217920" cy="3641925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eedback_patterns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6419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rFonts w:ascii="Noto Sans CJK SC" w:hAnsi="Noto Sans CJK SC" w:eastAsia="Noto Sans CJK SC"/>
          <w:b w:val="0"/>
          <w:sz w:val="21"/>
        </w:rPr>
        <w:t>任何用户动作都需要明确反馈：系统是否收到、正在处理、成功还是失败、是否可撤销。覆盖层组件还必须处理焦点、键盘、关闭方式和层级冲突。</w:t>
      </w:r>
    </w:p>
    <w:p>
      <w:pPr>
        <w:spacing w:after="40"/>
      </w:pPr>
      <w:r>
        <w:rPr>
          <w:rFonts w:ascii="Noto Sans CJK SC" w:hAnsi="Noto Sans CJK SC" w:eastAsia="Noto Sans CJK SC"/>
          <w:b w:val="0"/>
          <w:sz w:val="20"/>
        </w:rPr>
        <w:t>• Toast — 短暂轻反馈，不阻塞</w:t>
      </w:r>
    </w:p>
    <w:p>
      <w:pPr>
        <w:spacing w:after="40"/>
      </w:pPr>
      <w:r>
        <w:rPr>
          <w:rFonts w:ascii="Noto Sans CJK SC" w:hAnsi="Noto Sans CJK SC" w:eastAsia="Noto Sans CJK SC"/>
          <w:b w:val="0"/>
          <w:sz w:val="20"/>
        </w:rPr>
        <w:t>• Snackbar — 反馈 + 轻动作，如撤销</w:t>
      </w:r>
    </w:p>
    <w:p>
      <w:pPr>
        <w:spacing w:after="40"/>
      </w:pPr>
      <w:r>
        <w:rPr>
          <w:rFonts w:ascii="Noto Sans CJK SC" w:hAnsi="Noto Sans CJK SC" w:eastAsia="Noto Sans CJK SC"/>
          <w:b w:val="0"/>
          <w:sz w:val="20"/>
        </w:rPr>
        <w:t>• Inline Alert — 贴近问题位置</w:t>
      </w:r>
    </w:p>
    <w:p>
      <w:pPr>
        <w:spacing w:after="40"/>
      </w:pPr>
      <w:r>
        <w:rPr>
          <w:rFonts w:ascii="Noto Sans CJK SC" w:hAnsi="Noto Sans CJK SC" w:eastAsia="Noto Sans CJK SC"/>
          <w:b w:val="0"/>
          <w:sz w:val="20"/>
        </w:rPr>
        <w:t>• Banner — 页面级重要通知</w:t>
      </w:r>
    </w:p>
    <w:p>
      <w:pPr>
        <w:spacing w:after="40"/>
      </w:pPr>
      <w:r>
        <w:rPr>
          <w:rFonts w:ascii="Noto Sans CJK SC" w:hAnsi="Noto Sans CJK SC" w:eastAsia="Noto Sans CJK SC"/>
          <w:b w:val="0"/>
          <w:sz w:val="20"/>
        </w:rPr>
        <w:t>• Modal — 需要用户决定后才能继续</w:t>
      </w:r>
    </w:p>
    <w:p>
      <w:pPr>
        <w:spacing w:after="40"/>
      </w:pPr>
      <w:r>
        <w:rPr>
          <w:rFonts w:ascii="Noto Sans CJK SC" w:hAnsi="Noto Sans CJK SC" w:eastAsia="Noto Sans CJK SC"/>
          <w:b w:val="0"/>
          <w:sz w:val="20"/>
        </w:rPr>
        <w:t>• Drawer — 保持上下文的侧面详情/编辑</w:t>
      </w:r>
    </w:p>
    <w:p>
      <w:pPr>
        <w:spacing w:after="40"/>
      </w:pPr>
      <w:r>
        <w:rPr>
          <w:rFonts w:ascii="Noto Sans CJK SC" w:hAnsi="Noto Sans CJK SC" w:eastAsia="Noto Sans CJK SC"/>
          <w:b w:val="0"/>
          <w:sz w:val="20"/>
        </w:rPr>
        <w:t>• Popover — 局部扩展信息或轻操作</w:t>
      </w:r>
    </w:p>
    <w:p>
      <w:pPr>
        <w:spacing w:after="40"/>
      </w:pPr>
      <w:r>
        <w:rPr>
          <w:rFonts w:ascii="Noto Sans CJK SC" w:hAnsi="Noto Sans CJK SC" w:eastAsia="Noto Sans CJK SC"/>
          <w:b w:val="0"/>
          <w:sz w:val="20"/>
        </w:rPr>
        <w:t>• Tooltip — 解释图标或概念</w:t>
      </w:r>
    </w:p>
    <w:p>
      <w:pPr>
        <w:spacing w:after="40"/>
      </w:pPr>
      <w:r>
        <w:rPr>
          <w:rFonts w:ascii="Noto Sans CJK SC" w:hAnsi="Noto Sans CJK SC" w:eastAsia="Noto Sans CJK SC"/>
          <w:b w:val="0"/>
          <w:sz w:val="20"/>
        </w:rPr>
        <w:t>• Progress — 确定性进度</w:t>
      </w:r>
    </w:p>
    <w:p>
      <w:pPr>
        <w:spacing w:after="40"/>
      </w:pPr>
      <w:r>
        <w:rPr>
          <w:rFonts w:ascii="Noto Sans CJK SC" w:hAnsi="Noto Sans CJK SC" w:eastAsia="Noto Sans CJK SC"/>
          <w:b w:val="0"/>
          <w:sz w:val="20"/>
        </w:rPr>
        <w:t>• Spinner — 未知时长加载</w:t>
      </w:r>
    </w:p>
    <w:p>
      <w:pPr>
        <w:spacing w:after="40"/>
      </w:pPr>
      <w:r>
        <w:rPr>
          <w:rFonts w:ascii="Noto Sans CJK SC" w:hAnsi="Noto Sans CJK SC" w:eastAsia="Noto Sans CJK SC"/>
          <w:b w:val="0"/>
          <w:sz w:val="20"/>
        </w:rPr>
        <w:t>• Skeleton — 保留布局结构的加载</w:t>
      </w:r>
    </w:p>
    <w:p>
      <w:pPr>
        <w:spacing w:after="40"/>
      </w:pPr>
      <w:r>
        <w:rPr>
          <w:rFonts w:ascii="Noto Sans CJK SC" w:hAnsi="Noto Sans CJK SC" w:eastAsia="Noto Sans CJK SC"/>
          <w:b w:val="0"/>
          <w:sz w:val="20"/>
        </w:rPr>
        <w:t>• Empty State — 无内容时指导下一步</w:t>
      </w:r>
    </w:p>
    <w:p>
      <w:pPr>
        <w:spacing w:after="40"/>
      </w:pPr>
      <w:r>
        <w:rPr>
          <w:rFonts w:ascii="Noto Sans CJK SC" w:hAnsi="Noto Sans CJK SC" w:eastAsia="Noto Sans CJK SC"/>
          <w:b w:val="0"/>
          <w:sz w:val="20"/>
        </w:rPr>
        <w:t>• Error State — 失败原因 + 恢复动作</w:t>
      </w:r>
    </w:p>
    <w:p>
      <w:pPr>
        <w:spacing w:after="40"/>
      </w:pPr>
      <w:r>
        <w:rPr>
          <w:rFonts w:ascii="Noto Sans CJK SC" w:hAnsi="Noto Sans CJK SC" w:eastAsia="Noto Sans CJK SC"/>
          <w:b w:val="0"/>
          <w:sz w:val="20"/>
        </w:rPr>
        <w:t>• Offline — 网络不可用</w:t>
      </w:r>
    </w:p>
    <w:p>
      <w:pPr>
        <w:spacing w:after="40"/>
      </w:pPr>
      <w:r>
        <w:rPr>
          <w:rFonts w:ascii="Noto Sans CJK SC" w:hAnsi="Noto Sans CJK SC" w:eastAsia="Noto Sans CJK SC"/>
          <w:b w:val="0"/>
          <w:sz w:val="20"/>
        </w:rPr>
        <w:t>• Success — 明确完成</w:t>
      </w:r>
    </w:p>
    <w:p>
      <w:pPr>
        <w:spacing w:after="40"/>
      </w:pPr>
      <w:r>
        <w:rPr>
          <w:rFonts w:ascii="Noto Sans CJK SC" w:hAnsi="Noto Sans CJK SC" w:eastAsia="Noto Sans CJK SC"/>
          <w:b w:val="0"/>
          <w:sz w:val="20"/>
        </w:rPr>
        <w:t>• Confirm — 高风险动作确认</w:t>
      </w:r>
    </w:p>
    <w:p>
      <w:r>
        <w:br w:type="page"/>
      </w:r>
    </w:p>
    <w:p>
      <w:pPr>
        <w:pStyle w:val="Heading1"/>
      </w:pPr>
      <w:r>
        <w:t>08｜组件状态矩阵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6217920" cy="3641925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mponent_states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6419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rFonts w:ascii="Noto Sans CJK SC" w:hAnsi="Noto Sans CJK SC" w:eastAsia="Noto Sans CJK SC"/>
          <w:b w:val="0"/>
          <w:sz w:val="21"/>
        </w:rPr>
        <w:t>按钮、输入框、菜单项、卡片等交互组件都应明确状态。只画 Default 状态是设计系统常见缺陷。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Default 默认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Hover 悬停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Focus 键盘焦点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Pressed 按下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Selected 选中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Disabled 禁用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Loading 加载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Error 错误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Success 成功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Read-only 只读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Empty 空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Skeleton 骨架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EEF4FF"/>
          </w:tcPr>
          <w:p>
            <w:r>
              <w:rPr>
                <w:b/>
                <w:color w:val="2F70F6"/>
                <w:sz w:val="21"/>
              </w:rPr>
              <w:t xml:space="preserve">工程规则  </w:t>
            </w:r>
            <w:r>
              <w:rPr>
                <w:sz w:val="21"/>
              </w:rPr>
              <w:t>状态必须有唯一来源（state machine / props / store），不要只依赖 CSS 视觉伪状态，否则业务状态与视觉状态容易不同步。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09｜UI 视觉风格体系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6217920" cy="3641925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isual_styles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6419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rFonts w:ascii="Noto Sans CJK SC" w:hAnsi="Noto Sans CJK SC" w:eastAsia="Noto Sans CJK SC"/>
          <w:b w:val="0"/>
          <w:sz w:val="21"/>
        </w:rPr>
        <w:t>“风格”是视觉语言，不决定信息架构。一个 Sidebar 应用可以同时做成 Material、Fluent、Minimal 或 Brutalist。选择视觉风格时优先考虑品牌、内容密度、长期维护与可访问性。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578"/>
        <w:gridCol w:w="2578"/>
        <w:gridCol w:w="2578"/>
        <w:gridCol w:w="2578"/>
      </w:tblGrid>
      <w:tr>
        <w:tc>
          <w:tcPr>
            <w:tcW w:type="dxa" w:w="2578"/>
            <w:vAlign w:val="center"/>
            <w:shd w:fill="2F70F6"/>
          </w:tcPr>
          <w:p>
            <w:r/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英文</w:t>
            </w:r>
          </w:p>
        </w:tc>
        <w:tc>
          <w:tcPr>
            <w:tcW w:type="dxa" w:w="2578"/>
            <w:vAlign w:val="center"/>
            <w:shd w:fill="2F70F6"/>
          </w:tcPr>
          <w:p>
            <w:r/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中文/俗称</w:t>
            </w:r>
          </w:p>
        </w:tc>
        <w:tc>
          <w:tcPr>
            <w:tcW w:type="dxa" w:w="2578"/>
            <w:vAlign w:val="center"/>
            <w:shd w:fill="2F70F6"/>
          </w:tcPr>
          <w:p>
            <w:r/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特征</w:t>
            </w:r>
          </w:p>
        </w:tc>
        <w:tc>
          <w:tcPr>
            <w:tcW w:type="dxa" w:w="2578"/>
            <w:vAlign w:val="center"/>
            <w:shd w:fill="2F70F6"/>
          </w:tcPr>
          <w:p>
            <w:r/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使用提醒</w:t>
            </w:r>
          </w:p>
        </w:tc>
      </w:tr>
      <w:tr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Flat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扁平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纯色、少装饰，稳定易维护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不要让视觉风格压过可用性与层级</w:t>
            </w:r>
          </w:p>
        </w:tc>
      </w:tr>
      <w:tr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Material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材料化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表面层级、阴影、动效体系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不要让视觉风格压过可用性与层级</w:t>
            </w:r>
          </w:p>
        </w:tc>
      </w:tr>
      <w:tr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Fluent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流畅设计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光感、亚克力、层次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不要让视觉风格压过可用性与层级</w:t>
            </w:r>
          </w:p>
        </w:tc>
      </w:tr>
      <w:tr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Apple-like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克制精致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留白、半透明、细腻排版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不要让视觉风格压过可用性与层级</w:t>
            </w:r>
          </w:p>
        </w:tc>
      </w:tr>
      <w:tr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Minimal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极简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低噪声、高留白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不要让视觉风格压过可用性与层级</w:t>
            </w:r>
          </w:p>
        </w:tc>
      </w:tr>
      <w:tr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Enterprise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企业级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高密度、功能优先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不要让视觉风格压过可用性与层级</w:t>
            </w:r>
          </w:p>
        </w:tc>
      </w:tr>
      <w:tr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Bento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便当网格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模块化组合、首页概览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不要让视觉风格压过可用性与层级</w:t>
            </w:r>
          </w:p>
        </w:tc>
      </w:tr>
      <w:tr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Glassmorphism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玻璃拟态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透明、模糊背景，需注意对比度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不要让视觉风格压过可用性与层级</w:t>
            </w:r>
          </w:p>
        </w:tc>
      </w:tr>
      <w:tr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Neumorphism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新拟态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软阴影凸凹，对比度风险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不要让视觉风格压过可用性与层级</w:t>
            </w:r>
          </w:p>
        </w:tc>
      </w:tr>
      <w:tr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Skeuomorphism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拟物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模拟真实物件，表达性强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不要让视觉风格压过可用性与层级</w:t>
            </w:r>
          </w:p>
        </w:tc>
      </w:tr>
      <w:tr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Brutalism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粗野主义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高对比、强边界、反精致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不要让视觉风格压过可用性与层级</w:t>
            </w:r>
          </w:p>
        </w:tc>
      </w:tr>
      <w:tr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Editorial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编辑式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杂志排版、强字体层级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不要让视觉风格压过可用性与层级</w:t>
            </w:r>
          </w:p>
        </w:tc>
      </w:tr>
      <w:tr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Claymorphism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黏土3D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软体积、可爱风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不要让视觉风格压过可用性与层级</w:t>
            </w:r>
          </w:p>
        </w:tc>
      </w:tr>
      <w:tr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Retro Pixel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像素复古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游戏/怀旧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不要让视觉风格压过可用性与层级</w:t>
            </w:r>
          </w:p>
        </w:tc>
      </w:tr>
      <w:tr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Cyberpunk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赛博朋克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霓虹、高对比、暗色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不要让视觉风格压过可用性与层级</w:t>
            </w:r>
          </w:p>
        </w:tc>
      </w:tr>
      <w:tr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Y2K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千禧风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数字感、渐变、金属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不要让视觉风格压过可用性与层级</w:t>
            </w:r>
          </w:p>
        </w:tc>
      </w:tr>
      <w:tr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Monochrome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单色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统一、克制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不要让视觉风格压过可用性与层级</w:t>
            </w:r>
          </w:p>
        </w:tc>
      </w:tr>
      <w:tr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High Contrast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高对比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无障碍与高可读性</w:t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不要让视觉风格压过可用性与层级</w:t>
            </w:r>
          </w:p>
        </w:tc>
      </w:tr>
    </w:tbl>
    <w:p>
      <w:r>
        <w:br w:type="page"/>
      </w:r>
    </w:p>
    <w:p>
      <w:pPr>
        <w:pStyle w:val="Heading1"/>
      </w:pPr>
      <w:r>
        <w:t>10｜交互模式与行为设计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6217920" cy="3641925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teraction_patterns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6419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rFonts w:ascii="Noto Sans CJK SC" w:hAnsi="Noto Sans CJK SC" w:eastAsia="Noto Sans CJK SC"/>
          <w:b w:val="0"/>
          <w:sz w:val="21"/>
        </w:rPr>
        <w:t>交互模式定义用户怎样操作系统。它们往往比颜色和圆角更直接地决定效率。尤其在高频工作流中，需要计算点击次数、鼠标移动、滚动、等待和错误恢复成本。</w:t>
      </w:r>
    </w:p>
    <w:p>
      <w:pPr>
        <w:spacing w:after="40"/>
      </w:pPr>
      <w:r>
        <w:rPr>
          <w:rFonts w:ascii="Noto Sans CJK SC" w:hAnsi="Noto Sans CJK SC" w:eastAsia="Noto Sans CJK SC"/>
          <w:b w:val="0"/>
          <w:sz w:val="20"/>
        </w:rPr>
        <w:t>• Hover — 桌面增强，不应成为唯一入口</w:t>
      </w:r>
    </w:p>
    <w:p>
      <w:pPr>
        <w:spacing w:after="40"/>
      </w:pPr>
      <w:r>
        <w:rPr>
          <w:rFonts w:ascii="Noto Sans CJK SC" w:hAnsi="Noto Sans CJK SC" w:eastAsia="Noto Sans CJK SC"/>
          <w:b w:val="0"/>
          <w:sz w:val="20"/>
        </w:rPr>
        <w:t>• Focus — 键盘与无障碍核心状态</w:t>
      </w:r>
    </w:p>
    <w:p>
      <w:pPr>
        <w:spacing w:after="40"/>
      </w:pPr>
      <w:r>
        <w:rPr>
          <w:rFonts w:ascii="Noto Sans CJK SC" w:hAnsi="Noto Sans CJK SC" w:eastAsia="Noto Sans CJK SC"/>
          <w:b w:val="0"/>
          <w:sz w:val="20"/>
        </w:rPr>
        <w:t>• Pressed — 即时动作反馈</w:t>
      </w:r>
    </w:p>
    <w:p>
      <w:pPr>
        <w:spacing w:after="40"/>
      </w:pPr>
      <w:r>
        <w:rPr>
          <w:rFonts w:ascii="Noto Sans CJK SC" w:hAnsi="Noto Sans CJK SC" w:eastAsia="Noto Sans CJK SC"/>
          <w:b w:val="0"/>
          <w:sz w:val="20"/>
        </w:rPr>
        <w:t>• Selected — 持久选择状态</w:t>
      </w:r>
    </w:p>
    <w:p>
      <w:pPr>
        <w:spacing w:after="40"/>
      </w:pPr>
      <w:r>
        <w:rPr>
          <w:rFonts w:ascii="Noto Sans CJK SC" w:hAnsi="Noto Sans CJK SC" w:eastAsia="Noto Sans CJK SC"/>
          <w:b w:val="0"/>
          <w:sz w:val="20"/>
        </w:rPr>
        <w:t>• Drag &amp; Drop — 空间操作；需有非拖拽替代</w:t>
      </w:r>
    </w:p>
    <w:p>
      <w:pPr>
        <w:spacing w:after="40"/>
      </w:pPr>
      <w:r>
        <w:rPr>
          <w:rFonts w:ascii="Noto Sans CJK SC" w:hAnsi="Noto Sans CJK SC" w:eastAsia="Noto Sans CJK SC"/>
          <w:b w:val="0"/>
          <w:sz w:val="20"/>
        </w:rPr>
        <w:t>• Swipe — 移动端快捷手势</w:t>
      </w:r>
    </w:p>
    <w:p>
      <w:pPr>
        <w:spacing w:after="40"/>
      </w:pPr>
      <w:r>
        <w:rPr>
          <w:rFonts w:ascii="Noto Sans CJK SC" w:hAnsi="Noto Sans CJK SC" w:eastAsia="Noto Sans CJK SC"/>
          <w:b w:val="0"/>
          <w:sz w:val="20"/>
        </w:rPr>
        <w:t>• Context Menu — 右键/长按低频操作</w:t>
      </w:r>
    </w:p>
    <w:p>
      <w:pPr>
        <w:spacing w:after="40"/>
      </w:pPr>
      <w:r>
        <w:rPr>
          <w:rFonts w:ascii="Noto Sans CJK SC" w:hAnsi="Noto Sans CJK SC" w:eastAsia="Noto Sans CJK SC"/>
          <w:b w:val="0"/>
          <w:sz w:val="20"/>
        </w:rPr>
        <w:t>• Inline Edit — 原位编辑减少跳转</w:t>
      </w:r>
    </w:p>
    <w:p>
      <w:pPr>
        <w:spacing w:after="40"/>
      </w:pPr>
      <w:r>
        <w:rPr>
          <w:rFonts w:ascii="Noto Sans CJK SC" w:hAnsi="Noto Sans CJK SC" w:eastAsia="Noto Sans CJK SC"/>
          <w:b w:val="0"/>
          <w:sz w:val="20"/>
        </w:rPr>
        <w:t>• Undo/Redo — 降低操作风险</w:t>
      </w:r>
    </w:p>
    <w:p>
      <w:pPr>
        <w:spacing w:after="40"/>
      </w:pPr>
      <w:r>
        <w:rPr>
          <w:rFonts w:ascii="Noto Sans CJK SC" w:hAnsi="Noto Sans CJK SC" w:eastAsia="Noto Sans CJK SC"/>
          <w:b w:val="0"/>
          <w:sz w:val="20"/>
        </w:rPr>
        <w:t>• Autosave — 减少显式保存动作</w:t>
      </w:r>
    </w:p>
    <w:p>
      <w:pPr>
        <w:spacing w:after="40"/>
      </w:pPr>
      <w:r>
        <w:rPr>
          <w:rFonts w:ascii="Noto Sans CJK SC" w:hAnsi="Noto Sans CJK SC" w:eastAsia="Noto Sans CJK SC"/>
          <w:b w:val="0"/>
          <w:sz w:val="20"/>
        </w:rPr>
        <w:t>• Optimistic UI — 先响应、后确认</w:t>
      </w:r>
    </w:p>
    <w:p>
      <w:pPr>
        <w:spacing w:after="40"/>
      </w:pPr>
      <w:r>
        <w:rPr>
          <w:rFonts w:ascii="Noto Sans CJK SC" w:hAnsi="Noto Sans CJK SC" w:eastAsia="Noto Sans CJK SC"/>
          <w:b w:val="0"/>
          <w:sz w:val="20"/>
        </w:rPr>
        <w:t>• Keyboard Shortcut — 专家效率</w:t>
      </w:r>
    </w:p>
    <w:p>
      <w:pPr>
        <w:spacing w:after="40"/>
      </w:pPr>
      <w:r>
        <w:rPr>
          <w:rFonts w:ascii="Noto Sans CJK SC" w:hAnsi="Noto Sans CJK SC" w:eastAsia="Noto Sans CJK SC"/>
          <w:b w:val="0"/>
          <w:sz w:val="20"/>
        </w:rPr>
        <w:t>• Multi-select — 多对象选择</w:t>
      </w:r>
    </w:p>
    <w:p>
      <w:pPr>
        <w:spacing w:after="40"/>
      </w:pPr>
      <w:r>
        <w:rPr>
          <w:rFonts w:ascii="Noto Sans CJK SC" w:hAnsi="Noto Sans CJK SC" w:eastAsia="Noto Sans CJK SC"/>
          <w:b w:val="0"/>
          <w:sz w:val="20"/>
        </w:rPr>
        <w:t>• Bulk Action — 批量操作</w:t>
      </w:r>
    </w:p>
    <w:p>
      <w:pPr>
        <w:spacing w:after="40"/>
      </w:pPr>
      <w:r>
        <w:rPr>
          <w:rFonts w:ascii="Noto Sans CJK SC" w:hAnsi="Noto Sans CJK SC" w:eastAsia="Noto Sans CJK SC"/>
          <w:b w:val="0"/>
          <w:sz w:val="20"/>
        </w:rPr>
        <w:t>• Infinite Scroll — 连续消费，不利于精确回访</w:t>
      </w:r>
    </w:p>
    <w:p>
      <w:pPr>
        <w:spacing w:after="40"/>
      </w:pPr>
      <w:r>
        <w:rPr>
          <w:rFonts w:ascii="Noto Sans CJK SC" w:hAnsi="Noto Sans CJK SC" w:eastAsia="Noto Sans CJK SC"/>
          <w:b w:val="0"/>
          <w:sz w:val="20"/>
        </w:rPr>
        <w:t>• Load More — 用户主动控制加载节奏</w:t>
      </w:r>
    </w:p>
    <w:p>
      <w:r>
        <w:br w:type="page"/>
      </w:r>
    </w:p>
    <w:p>
      <w:pPr>
        <w:pStyle w:val="Heading1"/>
      </w:pPr>
      <w:r>
        <w:t>11｜响应式、密度与可访问性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6217920" cy="3641925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sponsive_accessibility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6419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rFonts w:ascii="Noto Sans CJK SC" w:hAnsi="Noto Sans CJK SC" w:eastAsia="Noto Sans CJK SC"/>
          <w:b w:val="0"/>
          <w:sz w:val="21"/>
        </w:rPr>
        <w:t>跨设备不是把桌面 UI 缩小。需要重新组织导航、信息密度、输入方式、触摸目标与内容优先级。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Responsive：连续断点与弹性布局，根据可用空间重新排布。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Adaptive：针对手机、平板、桌面等几类形态准备不同布局。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Mobile-first：先保证最小屏主任务，再逐步增强。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Density：Comfortable / Compact 应根据任务频率和设备调整。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Touch Target：触摸目标要足够大并有间距。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Focus Ring：键盘用户必须看得见当前焦点。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High Contrast：信息不能只靠微弱色差。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Reduced Motion：用户要求减少动画时，应提供低动效路径。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RTL / 国际化：文字方向、长文本、日期货币与复数规则都会影响布局。</w:t>
      </w:r>
    </w:p>
    <w:p>
      <w:r>
        <w:br w:type="page"/>
      </w:r>
    </w:p>
    <w:p>
      <w:pPr>
        <w:pStyle w:val="Heading1"/>
      </w:pPr>
      <w:r>
        <w:t>12｜设计系统：从 Token 到产品体验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6217920" cy="3641925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esign_system_layer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6419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rFonts w:ascii="Noto Sans CJK SC" w:hAnsi="Noto Sans CJK SC" w:eastAsia="Noto Sans CJK SC"/>
          <w:b w:val="0"/>
          <w:sz w:val="21"/>
        </w:rPr>
        <w:t>真正可维护的 UI 不是一堆页面截图，而是一套分层的设计系统。越往下越抽象、越稳定；越往上越接近业务。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vAlign w:val="center"/>
            <w:shd w:fill="2F70F6"/>
          </w:tcPr>
          <w:p>
            <w:r/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层级</w:t>
            </w:r>
          </w:p>
        </w:tc>
        <w:tc>
          <w:tcPr>
            <w:tcW w:type="dxa" w:w="3437"/>
            <w:vAlign w:val="center"/>
            <w:shd w:fill="2F70F6"/>
          </w:tcPr>
          <w:p>
            <w:r/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内容</w:t>
            </w:r>
          </w:p>
        </w:tc>
        <w:tc>
          <w:tcPr>
            <w:tcW w:type="dxa" w:w="3437"/>
            <w:vAlign w:val="center"/>
            <w:shd w:fill="2F70F6"/>
          </w:tcPr>
          <w:p>
            <w:r/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稳定性</w:t>
            </w:r>
          </w:p>
        </w:tc>
      </w:tr>
      <w:tr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Design Tokens</w:t>
            </w:r>
          </w:p>
        </w:tc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颜色、字体、字号、间距、圆角、阴影、动效时长、层级 z-index</w:t>
            </w:r>
          </w:p>
        </w:tc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高</w:t>
            </w:r>
          </w:p>
        </w:tc>
      </w:tr>
      <w:tr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Primitives</w:t>
            </w:r>
          </w:p>
        </w:tc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Stack、Box、Text、Icon、Divider 等基础原语</w:t>
            </w:r>
          </w:p>
        </w:tc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高</w:t>
            </w:r>
          </w:p>
        </w:tc>
      </w:tr>
      <w:tr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Components</w:t>
            </w:r>
          </w:p>
        </w:tc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Button、Input、Select、Modal、Table 等通用组件</w:t>
            </w:r>
          </w:p>
        </w:tc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高</w:t>
            </w:r>
          </w:p>
        </w:tc>
      </w:tr>
      <w:tr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Patterns</w:t>
            </w:r>
          </w:p>
        </w:tc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Search、Filter、Empty State、Navigation、Form 等组合模式</w:t>
            </w:r>
          </w:p>
        </w:tc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中</w:t>
            </w:r>
          </w:p>
        </w:tc>
      </w:tr>
      <w:tr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Layouts</w:t>
            </w:r>
          </w:p>
        </w:tc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Sidebar、Dashboard、Docs、Master-detail 等页面骨架</w:t>
            </w:r>
          </w:p>
        </w:tc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中</w:t>
            </w:r>
          </w:p>
        </w:tc>
      </w:tr>
      <w:tr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Flows</w:t>
            </w:r>
          </w:p>
        </w:tc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注册、创建、支付、审批、上传等业务流程</w:t>
            </w:r>
          </w:p>
        </w:tc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业务相关</w:t>
            </w:r>
          </w:p>
        </w:tc>
      </w:tr>
      <w:tr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Product UI</w:t>
            </w:r>
          </w:p>
        </w:tc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最终产品页面与领域规则</w:t>
            </w:r>
          </w:p>
        </w:tc>
        <w:tc>
          <w:tcPr>
            <w:tcW w:type="dxa" w:w="3437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业务相关</w:t>
            </w:r>
          </w:p>
        </w:tc>
      </w:tr>
    </w:tbl>
    <w:p>
      <w:r>
        <w:br w:type="page"/>
      </w:r>
    </w:p>
    <w:p>
      <w:pPr>
        <w:pStyle w:val="Heading1"/>
      </w:pPr>
      <w:r>
        <w:t>13｜结构选择矩阵：不同软件该怎么搭</w:t>
      </w:r>
    </w:p>
    <w:p>
      <w:pPr>
        <w:spacing w:after="120"/>
      </w:pPr>
      <w:r>
        <w:rPr>
          <w:rFonts w:ascii="Noto Sans CJK SC" w:hAnsi="Noto Sans CJK SC" w:eastAsia="Noto Sans CJK SC"/>
          <w:b w:val="0"/>
          <w:sz w:val="21"/>
        </w:rPr>
        <w:t>以下不是唯一答案，而是高概率可靠的起点。设计时先选“壳层 + 导航 + 内容结构 + 核心组件”，最后才选视觉风格。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062"/>
        <w:gridCol w:w="2062"/>
        <w:gridCol w:w="2062"/>
        <w:gridCol w:w="2062"/>
        <w:gridCol w:w="2062"/>
      </w:tblGrid>
      <w:tr>
        <w:tc>
          <w:tcPr>
            <w:tcW w:type="dxa" w:w="2062"/>
            <w:vAlign w:val="center"/>
            <w:shd w:fill="2F70F6"/>
          </w:tcPr>
          <w:p>
            <w:r/>
            <w:r>
              <w:rPr>
                <w:rFonts w:ascii="Noto Sans CJK SC" w:hAnsi="Noto Sans CJK SC" w:eastAsia="Noto Sans CJK SC"/>
                <w:b/>
                <w:color w:val="FFFFFF"/>
                <w:sz w:val="17"/>
              </w:rPr>
              <w:t>产品类型</w:t>
            </w:r>
          </w:p>
        </w:tc>
        <w:tc>
          <w:tcPr>
            <w:tcW w:type="dxa" w:w="2062"/>
            <w:vAlign w:val="center"/>
            <w:shd w:fill="2F70F6"/>
          </w:tcPr>
          <w:p>
            <w:r/>
            <w:r>
              <w:rPr>
                <w:rFonts w:ascii="Noto Sans CJK SC" w:hAnsi="Noto Sans CJK SC" w:eastAsia="Noto Sans CJK SC"/>
                <w:b/>
                <w:color w:val="FFFFFF"/>
                <w:sz w:val="17"/>
              </w:rPr>
              <w:t>推荐壳层</w:t>
            </w:r>
          </w:p>
        </w:tc>
        <w:tc>
          <w:tcPr>
            <w:tcW w:type="dxa" w:w="2062"/>
            <w:vAlign w:val="center"/>
            <w:shd w:fill="2F70F6"/>
          </w:tcPr>
          <w:p>
            <w:r/>
            <w:r>
              <w:rPr>
                <w:rFonts w:ascii="Noto Sans CJK SC" w:hAnsi="Noto Sans CJK SC" w:eastAsia="Noto Sans CJK SC"/>
                <w:b/>
                <w:color w:val="FFFFFF"/>
                <w:sz w:val="17"/>
              </w:rPr>
              <w:t>内容结构</w:t>
            </w:r>
          </w:p>
        </w:tc>
        <w:tc>
          <w:tcPr>
            <w:tcW w:type="dxa" w:w="2062"/>
            <w:vAlign w:val="center"/>
            <w:shd w:fill="2F70F6"/>
          </w:tcPr>
          <w:p>
            <w:r/>
            <w:r>
              <w:rPr>
                <w:rFonts w:ascii="Noto Sans CJK SC" w:hAnsi="Noto Sans CJK SC" w:eastAsia="Noto Sans CJK SC"/>
                <w:b/>
                <w:color w:val="FFFFFF"/>
                <w:sz w:val="17"/>
              </w:rPr>
              <w:t>关键组件</w:t>
            </w:r>
          </w:p>
        </w:tc>
        <w:tc>
          <w:tcPr>
            <w:tcW w:type="dxa" w:w="2062"/>
            <w:vAlign w:val="center"/>
            <w:shd w:fill="2F70F6"/>
          </w:tcPr>
          <w:p>
            <w:r/>
            <w:r>
              <w:rPr>
                <w:rFonts w:ascii="Noto Sans CJK SC" w:hAnsi="Noto Sans CJK SC" w:eastAsia="Noto Sans CJK SC"/>
                <w:b/>
                <w:color w:val="FFFFFF"/>
                <w:sz w:val="17"/>
              </w:rPr>
              <w:t>视觉方向</w:t>
            </w:r>
          </w:p>
        </w:tc>
      </w:tr>
      <w:tr>
        <w:tc>
          <w:tcPr>
            <w:tcW w:type="dxa" w:w="2062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企业后台</w:t>
            </w:r>
          </w:p>
        </w:tc>
        <w:tc>
          <w:tcPr>
            <w:tcW w:type="dxa" w:w="2062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Sidebar</w:t>
            </w:r>
          </w:p>
        </w:tc>
        <w:tc>
          <w:tcPr>
            <w:tcW w:type="dxa" w:w="2062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Table / Master-detail</w:t>
            </w:r>
          </w:p>
        </w:tc>
        <w:tc>
          <w:tcPr>
            <w:tcW w:type="dxa" w:w="2062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Filter / Bulk Action / Drawer</w:t>
            </w:r>
          </w:p>
        </w:tc>
        <w:tc>
          <w:tcPr>
            <w:tcW w:type="dxa" w:w="2062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Enterprise / Minimal</w:t>
            </w:r>
          </w:p>
        </w:tc>
      </w:tr>
      <w:tr>
        <w:tc>
          <w:tcPr>
            <w:tcW w:type="dxa" w:w="2062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AI 助手</w:t>
            </w:r>
          </w:p>
        </w:tc>
        <w:tc>
          <w:tcPr>
            <w:tcW w:type="dxa" w:w="2062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Chat / Three-pane</w:t>
            </w:r>
          </w:p>
        </w:tc>
        <w:tc>
          <w:tcPr>
            <w:tcW w:type="dxa" w:w="2062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Conversation / Artifacts</w:t>
            </w:r>
          </w:p>
        </w:tc>
        <w:tc>
          <w:tcPr>
            <w:tcW w:type="dxa" w:w="2062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Composer / Tool Result / Sidebar</w:t>
            </w:r>
          </w:p>
        </w:tc>
        <w:tc>
          <w:tcPr>
            <w:tcW w:type="dxa" w:w="2062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Minimal / Fluent</w:t>
            </w:r>
          </w:p>
        </w:tc>
      </w:tr>
      <w:tr>
        <w:tc>
          <w:tcPr>
            <w:tcW w:type="dxa" w:w="2062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IDE/开发工具</w:t>
            </w:r>
          </w:p>
        </w:tc>
        <w:tc>
          <w:tcPr>
            <w:tcW w:type="dxa" w:w="2062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IDE / Split</w:t>
            </w:r>
          </w:p>
        </w:tc>
        <w:tc>
          <w:tcPr>
            <w:tcW w:type="dxa" w:w="2062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Tree + Editor + Panel</w:t>
            </w:r>
          </w:p>
        </w:tc>
        <w:tc>
          <w:tcPr>
            <w:tcW w:type="dxa" w:w="2062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Tabs / Command Palette</w:t>
            </w:r>
          </w:p>
        </w:tc>
        <w:tc>
          <w:tcPr>
            <w:tcW w:type="dxa" w:w="2062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Dark / Enterprise</w:t>
            </w:r>
          </w:p>
        </w:tc>
      </w:tr>
      <w:tr>
        <w:tc>
          <w:tcPr>
            <w:tcW w:type="dxa" w:w="2062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文档站</w:t>
            </w:r>
          </w:p>
        </w:tc>
        <w:tc>
          <w:tcPr>
            <w:tcW w:type="dxa" w:w="2062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Docs Three-column</w:t>
            </w:r>
          </w:p>
        </w:tc>
        <w:tc>
          <w:tcPr>
            <w:tcW w:type="dxa" w:w="2062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Article / TOC</w:t>
            </w:r>
          </w:p>
        </w:tc>
        <w:tc>
          <w:tcPr>
            <w:tcW w:type="dxa" w:w="2062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Tree / Search / Callout</w:t>
            </w:r>
          </w:p>
        </w:tc>
        <w:tc>
          <w:tcPr>
            <w:tcW w:type="dxa" w:w="2062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Minimal / Editorial</w:t>
            </w:r>
          </w:p>
        </w:tc>
      </w:tr>
      <w:tr>
        <w:tc>
          <w:tcPr>
            <w:tcW w:type="dxa" w:w="2062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项目管理</w:t>
            </w:r>
          </w:p>
        </w:tc>
        <w:tc>
          <w:tcPr>
            <w:tcW w:type="dxa" w:w="2062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Sidebar / Kanban</w:t>
            </w:r>
          </w:p>
        </w:tc>
        <w:tc>
          <w:tcPr>
            <w:tcW w:type="dxa" w:w="2062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Board / Table / Calendar</w:t>
            </w:r>
          </w:p>
        </w:tc>
        <w:tc>
          <w:tcPr>
            <w:tcW w:type="dxa" w:w="2062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Drag / Filter / Modal</w:t>
            </w:r>
          </w:p>
        </w:tc>
        <w:tc>
          <w:tcPr>
            <w:tcW w:type="dxa" w:w="2062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Enterprise / Bento</w:t>
            </w:r>
          </w:p>
        </w:tc>
      </w:tr>
      <w:tr>
        <w:tc>
          <w:tcPr>
            <w:tcW w:type="dxa" w:w="2062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设计工具</w:t>
            </w:r>
          </w:p>
        </w:tc>
        <w:tc>
          <w:tcPr>
            <w:tcW w:type="dxa" w:w="2062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Canvas</w:t>
            </w:r>
          </w:p>
        </w:tc>
        <w:tc>
          <w:tcPr>
            <w:tcW w:type="dxa" w:w="2062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Infinite Canvas</w:t>
            </w:r>
          </w:p>
        </w:tc>
        <w:tc>
          <w:tcPr>
            <w:tcW w:type="dxa" w:w="2062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Toolbar / Inspector / Layers</w:t>
            </w:r>
          </w:p>
        </w:tc>
        <w:tc>
          <w:tcPr>
            <w:tcW w:type="dxa" w:w="2062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Minimal / Dark</w:t>
            </w:r>
          </w:p>
        </w:tc>
      </w:tr>
      <w:tr>
        <w:tc>
          <w:tcPr>
            <w:tcW w:type="dxa" w:w="2062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数据分析</w:t>
            </w:r>
          </w:p>
        </w:tc>
        <w:tc>
          <w:tcPr>
            <w:tcW w:type="dxa" w:w="2062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Dashboard</w:t>
            </w:r>
          </w:p>
        </w:tc>
        <w:tc>
          <w:tcPr>
            <w:tcW w:type="dxa" w:w="2062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KPI / Chart / Table</w:t>
            </w:r>
          </w:p>
        </w:tc>
        <w:tc>
          <w:tcPr>
            <w:tcW w:type="dxa" w:w="2062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Filter / Drilldown</w:t>
            </w:r>
          </w:p>
        </w:tc>
        <w:tc>
          <w:tcPr>
            <w:tcW w:type="dxa" w:w="2062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Enterprise / Fluent</w:t>
            </w:r>
          </w:p>
        </w:tc>
      </w:tr>
      <w:tr>
        <w:tc>
          <w:tcPr>
            <w:tcW w:type="dxa" w:w="2062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移动工具</w:t>
            </w:r>
          </w:p>
        </w:tc>
        <w:tc>
          <w:tcPr>
            <w:tcW w:type="dxa" w:w="2062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Top + Bottom Nav</w:t>
            </w:r>
          </w:p>
        </w:tc>
        <w:tc>
          <w:tcPr>
            <w:tcW w:type="dxa" w:w="2062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List / Detail</w:t>
            </w:r>
          </w:p>
        </w:tc>
        <w:tc>
          <w:tcPr>
            <w:tcW w:type="dxa" w:w="2062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Sheet / FAB / Search</w:t>
            </w:r>
          </w:p>
        </w:tc>
        <w:tc>
          <w:tcPr>
            <w:tcW w:type="dxa" w:w="2062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Platform-native</w:t>
            </w:r>
          </w:p>
        </w:tc>
      </w:tr>
      <w:tr>
        <w:tc>
          <w:tcPr>
            <w:tcW w:type="dxa" w:w="2062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媒体播放器</w:t>
            </w:r>
          </w:p>
        </w:tc>
        <w:tc>
          <w:tcPr>
            <w:tcW w:type="dxa" w:w="2062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Immersive</w:t>
            </w:r>
          </w:p>
        </w:tc>
        <w:tc>
          <w:tcPr>
            <w:tcW w:type="dxa" w:w="2062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Media + Queue</w:t>
            </w:r>
          </w:p>
        </w:tc>
        <w:tc>
          <w:tcPr>
            <w:tcW w:type="dxa" w:w="2062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Playback / Slider / Overlay</w:t>
            </w:r>
          </w:p>
        </w:tc>
        <w:tc>
          <w:tcPr>
            <w:tcW w:type="dxa" w:w="2062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Dark / Minimal</w:t>
            </w:r>
          </w:p>
        </w:tc>
      </w:tr>
      <w:tr>
        <w:tc>
          <w:tcPr>
            <w:tcW w:type="dxa" w:w="2062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设置中心</w:t>
            </w:r>
          </w:p>
        </w:tc>
        <w:tc>
          <w:tcPr>
            <w:tcW w:type="dxa" w:w="2062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Sidebar / Master-detail</w:t>
            </w:r>
          </w:p>
        </w:tc>
        <w:tc>
          <w:tcPr>
            <w:tcW w:type="dxa" w:w="2062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Settings Sections</w:t>
            </w:r>
          </w:p>
        </w:tc>
        <w:tc>
          <w:tcPr>
            <w:tcW w:type="dxa" w:w="2062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Switch / Select / Inline Help</w:t>
            </w:r>
          </w:p>
        </w:tc>
        <w:tc>
          <w:tcPr>
            <w:tcW w:type="dxa" w:w="2062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Minimal / Enterprise</w:t>
            </w:r>
          </w:p>
        </w:tc>
      </w:tr>
    </w:tbl>
    <w:p>
      <w:r>
        <w:br w:type="page"/>
      </w:r>
    </w:p>
    <w:p>
      <w:pPr>
        <w:pStyle w:val="Heading1"/>
      </w:pPr>
      <w:r>
        <w:t>14｜给 AI / Codex 的 UI 描述模板</w:t>
      </w:r>
    </w:p>
    <w:p>
      <w:pPr>
        <w:spacing w:after="120"/>
      </w:pPr>
      <w:r>
        <w:rPr>
          <w:rFonts w:ascii="Noto Sans CJK SC" w:hAnsi="Noto Sans CJK SC" w:eastAsia="Noto Sans CJK SC"/>
          <w:b w:val="0"/>
          <w:sz w:val="21"/>
        </w:rPr>
        <w:t>普通人最容易把“风格、布局、组件、交互”混成一句话。下面模板强制分层，可以显著减少 AI 自行脑补。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EEF4FF"/>
          </w:tcPr>
          <w:p>
            <w:r>
              <w:rPr>
                <w:b/>
                <w:color w:val="2F70F6"/>
                <w:sz w:val="21"/>
              </w:rPr>
              <w:t xml:space="preserve">模板 1：页面级  </w:t>
            </w:r>
            <w:r>
              <w:rPr>
                <w:sz w:val="21"/>
              </w:rPr>
              <w:t>壳层结构：Sidebar App Shell；导航：左侧一级导航 + 顶部全局搜索；内容：Master–Detail；右侧详情使用 Drawer；视觉：Minimal + Enterprise；密度：Compact；移动端：Sidebar 收为 Drawer，Master–Detail 改为列表→详情。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EEF4FF"/>
          </w:tcPr>
          <w:p>
            <w:r>
              <w:rPr>
                <w:b/>
                <w:color w:val="2F70F6"/>
                <w:sz w:val="21"/>
              </w:rPr>
              <w:t xml:space="preserve">模板 2：组件级  </w:t>
            </w:r>
            <w:r>
              <w:rPr>
                <w:sz w:val="21"/>
              </w:rPr>
              <w:t>组件：Primary Button；尺寸 40px 高；图标在左；默认/hover/focus/pressed/disabled/loading 六种状态；Focus 必须有 2px 可见焦点环；loading 时禁止重复提交；文案保持不变并显示 spinner。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EEF4FF"/>
          </w:tcPr>
          <w:p>
            <w:r>
              <w:rPr>
                <w:b/>
                <w:color w:val="2F70F6"/>
                <w:sz w:val="21"/>
              </w:rPr>
              <w:t xml:space="preserve">模板 3：交互级  </w:t>
            </w:r>
            <w:r>
              <w:rPr>
                <w:sz w:val="21"/>
              </w:rPr>
              <w:t>用户目标：连续处理 100 个对象；约束：鼠标尽量不移动、无手动滚动、下一对象自动进入固定操作锚点；验收：完成整个任务期间 Pointer Travel 接近 0，最后一个对象也必须成立。</w:t>
            </w:r>
          </w:p>
        </w:tc>
      </w:tr>
    </w:tbl>
    <w:p>
      <w:pPr>
        <w:spacing w:after="40"/>
      </w:pPr>
    </w:p>
    <w:p>
      <w:pPr>
        <w:spacing w:after="120"/>
      </w:pPr>
      <w:r>
        <w:rPr>
          <w:rFonts w:ascii="Noto Sans CJK SC" w:hAnsi="Noto Sans CJK SC" w:eastAsia="Noto Sans CJK SC"/>
          <w:b/>
          <w:color w:val="2F70F6"/>
          <w:sz w:val="22"/>
        </w:rPr>
        <w:t>建议每次让 AI 先输出：①信息架构 ②布局结构 ③组件清单 ④状态矩阵 ⑤交互规则 ⑥响应式方案 ⑦验收条件，再开始写代码。</w:t>
      </w:r>
    </w:p>
    <w:p>
      <w:r>
        <w:br w:type="page"/>
      </w:r>
    </w:p>
    <w:p>
      <w:pPr>
        <w:pStyle w:val="Heading1"/>
      </w:pPr>
      <w:r>
        <w:t>15｜视觉基础与 Design Tokens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6217920" cy="3641925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oundations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6419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rFonts w:ascii="Noto Sans CJK SC" w:hAnsi="Noto Sans CJK SC" w:eastAsia="Noto Sans CJK SC"/>
          <w:b w:val="0"/>
          <w:sz w:val="21"/>
        </w:rPr>
        <w:t>在组件和页面之前，应先定义视觉基础。颜色、字体、间距、圆角、阴影、层级和动效时长如果没有 Token 化，项目越大越容易出现局部风格漂移。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Grid：定义页面列、沟槽和最大内容宽度。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Spacing：建议使用有限的间距序列，如 4/8/12/16/24/32，而不是随手写任意值。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Typography：至少区分 Display、Heading、Body、Label、Caption。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Semantic Color：Primary、Success、Warning、Danger、Info、Surface、Border、Text。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Radius：不要每个组件不同圆角；定义 2–5 个等级。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Elevation：阴影只表达层级，不是装饰。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Z-index：应形成规范层级，避免 Modal、Popover、Toast 相互覆盖。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Theme：Light/Dark/High Contrast 应共享语义 Token。</w:t>
      </w:r>
    </w:p>
    <w:p>
      <w:r>
        <w:br w:type="page"/>
      </w:r>
    </w:p>
    <w:p>
      <w:pPr>
        <w:pStyle w:val="Heading1"/>
      </w:pPr>
      <w:r>
        <w:t>16｜常用展示与辅助组件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6217920" cy="3641925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utility_components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6419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rFonts w:ascii="Noto Sans CJK SC" w:hAnsi="Noto Sans CJK SC" w:eastAsia="Noto Sans CJK SC"/>
          <w:b w:val="0"/>
          <w:sz w:val="21"/>
        </w:rPr>
        <w:t>除按钮与输入外，真正的软件还大量依赖菜单、工具栏、卡片、头像、标签、徽标、评分、分页和状态点。这些组件主要解决“信息组织”和“轻量操作”。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Menu / Dropdown：低频动作集合，危险动作应分组或隔离。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Toolbar：高频工具集合，避免一次塞入过多图标。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Card：用于表达一个对象或模块，不应滥用到所有内容。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Badge / Status Dot：短状态，不承载长文案。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Avatar / Avatar Group：人物或主体识别。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Tag / Chip：分类、过滤、轻量选择。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Accordion：控制长内容展开。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Rating：评分输入或展示。</w:t>
      </w:r>
    </w:p>
    <w:p>
      <w:r>
        <w:br w:type="page"/>
      </w:r>
    </w:p>
    <w:p>
      <w:pPr>
        <w:pStyle w:val="Heading1"/>
      </w:pPr>
      <w:r>
        <w:t>17｜数据可视化类型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6217920" cy="3641925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ataviz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6419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rFonts w:ascii="Noto Sans CJK SC" w:hAnsi="Noto Sans CJK SC" w:eastAsia="Noto Sans CJK SC"/>
          <w:b w:val="0"/>
          <w:sz w:val="21"/>
        </w:rPr>
        <w:t>图表不是“有数据就画图”。选择图表应先判断分析任务：趋势、比较、分布、关系、组成、流程还是地理。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趋势：Line / Area。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比较：Bar / Grouped Bar。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组成：Stacked Bar / Donut / Treemap。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分布：Histogram / Box Plot。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关系：Scatter / Bubble。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强弱矩阵：Heatmap。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流程流向：Funnel / Sankey。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多维轮廓：Radar（谨慎使用）。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单指标进度：Gauge（避免过度仪表盘化）。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地理：Map / Choropleth。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EEF4FF"/>
          </w:tcPr>
          <w:p>
            <w:r>
              <w:rPr>
                <w:b/>
                <w:color w:val="2F70F6"/>
                <w:sz w:val="21"/>
              </w:rPr>
              <w:t xml:space="preserve">图表原则  </w:t>
            </w:r>
            <w:r>
              <w:rPr>
                <w:sz w:val="21"/>
              </w:rPr>
              <w:t>能用表格准确比较的场景，不一定要图表；饼图类别过多、3D 图表、装饰性面积会降低可读性。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18｜媒体与富内容组件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6217920" cy="3641925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edia_components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6419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rFonts w:ascii="Noto Sans CJK SC" w:hAnsi="Noto Sans CJK SC" w:eastAsia="Noto Sans CJK SC"/>
          <w:b w:val="0"/>
          <w:sz w:val="21"/>
        </w:rPr>
        <w:t>媒体类软件需要独立考虑播放控制、时间轴、字幕、附件、文档浏览和编辑器状态。媒体组件常同时涉及加载、缓存、快捷键、全屏与无障碍。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Image / Gallery / Lightbox：缩略图与原图层级清晰。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Video Player：播放、音量、进度、字幕、画中画等控制分层。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Audio Player / Waveform：时间、波形、循环、标记点。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Document/PDF Viewer：页码、缩放、搜索、目录。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Rich Text / Code Editor：编辑状态、撤销、自动保存。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Diff Viewer：左右分屏或行内差异。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Playlist / Queue：当前项、顺序、下一项。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Attachment：文件类型、大小、上传状态、失败恢复。</w:t>
      </w:r>
    </w:p>
    <w:p>
      <w:r>
        <w:br w:type="page"/>
      </w:r>
    </w:p>
    <w:p>
      <w:pPr>
        <w:pStyle w:val="Heading1"/>
      </w:pPr>
      <w:r>
        <w:t>19｜移动端专用布局与组件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6217920" cy="3641925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obile_patterns.pn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6419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rFonts w:ascii="Noto Sans CJK SC" w:hAnsi="Noto Sans CJK SC" w:eastAsia="Noto Sans CJK SC"/>
          <w:b w:val="0"/>
          <w:sz w:val="21"/>
        </w:rPr>
        <w:t>移动端与桌面端不仅尺寸不同，交互输入也不同。移动端应优先考虑单手触达、系统返回、键盘弹出、安全区、手势冲突和底部操作区。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Top App Bar：标题、返回、关键动作。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Bottom Navigation：3–5 个一级入口。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Bottom Sheet：局部选择、详情、动作面板。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Navigation Drawer：低频全局导航。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FAB：单一高频创建动作。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Pull to Refresh：明确刷新反馈，不要强依赖。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Swipe Action：作为快捷操作，不应是唯一入口。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Sticky CTA：长页核心行动保持可达。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Full-screen Modal：移动端复杂编辑可使用整屏流程。</w:t>
      </w:r>
    </w:p>
    <w:p>
      <w:r>
        <w:br w:type="page"/>
      </w:r>
    </w:p>
    <w:p>
      <w:pPr>
        <w:pStyle w:val="Heading1"/>
      </w:pPr>
      <w:r>
        <w:t>20｜动效与微交互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6217920" cy="3641925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otion_patterns.pn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6419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rFonts w:ascii="Noto Sans CJK SC" w:hAnsi="Noto Sans CJK SC" w:eastAsia="Noto Sans CJK SC"/>
          <w:b w:val="0"/>
          <w:sz w:val="21"/>
        </w:rPr>
        <w:t>动效应该解释“发生了什么”和“对象从哪里到哪里”，而不是为了看起来高级。高频任务中的动效尤其要短，并支持 prefers-reduced-motion。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Fade / Crossfade：内容替换和轻层级变化。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Slide：表达空间方向或进入/退出。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Scale：强调打开、聚焦、轻反馈。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Shared Element：保持对象连续性。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Expand/Collapse：展示层级展开。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Loading/Progress：解释系统等待。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Success Motion：短暂确认完成。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Attention Pulse：只用于真正需要注意的状态。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Drag Feedback：明确抓取、目标与放置结果。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Spring：自然回弹，但不要用于精确高频操作。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sz w:val="20"/>
        </w:rPr>
        <w:t>Progressive Reveal：按需出现下一层内容。</w:t>
      </w:r>
    </w:p>
    <w:p>
      <w:r>
        <w:br w:type="page"/>
      </w:r>
    </w:p>
    <w:p>
      <w:pPr>
        <w:pStyle w:val="Heading1"/>
      </w:pPr>
      <w:r>
        <w:t>附录｜UI 术语快速索引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56"/>
        <w:gridCol w:w="5156"/>
      </w:tblGrid>
      <w:tr>
        <w:tc>
          <w:tcPr>
            <w:tcW w:type="dxa" w:w="5156"/>
            <w:vAlign w:val="center"/>
            <w:shd w:fill="2F70F6"/>
          </w:tcPr>
          <w:p>
            <w:r/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术语</w:t>
            </w:r>
          </w:p>
        </w:tc>
        <w:tc>
          <w:tcPr>
            <w:tcW w:type="dxa" w:w="5156"/>
            <w:vAlign w:val="center"/>
            <w:shd w:fill="2F70F6"/>
          </w:tcPr>
          <w:p>
            <w:r/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说明</w:t>
            </w:r>
          </w:p>
        </w:tc>
      </w:tr>
      <w:tr>
        <w:tc>
          <w:tcPr>
            <w:tcW w:type="dxa" w:w="5156"/>
            <w:vAlign w:val="center"/>
          </w:tcPr>
          <w:p>
            <w:r/>
            <w:r>
              <w:rPr>
                <w:rFonts w:ascii="Noto Sans CJK SC" w:hAnsi="Noto Sans CJK SC" w:eastAsia="Noto Sans CJK SC"/>
                <w:b/>
                <w:sz w:val="17"/>
              </w:rPr>
              <w:t>App Shell</w:t>
            </w:r>
          </w:p>
        </w:tc>
        <w:tc>
          <w:tcPr>
            <w:tcW w:type="dxa" w:w="5156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应用长期稳定的外层骨架</w:t>
            </w:r>
          </w:p>
        </w:tc>
      </w:tr>
      <w:tr>
        <w:tc>
          <w:tcPr>
            <w:tcW w:type="dxa" w:w="5156"/>
            <w:vAlign w:val="center"/>
          </w:tcPr>
          <w:p>
            <w:r/>
            <w:r>
              <w:rPr>
                <w:rFonts w:ascii="Noto Sans CJK SC" w:hAnsi="Noto Sans CJK SC" w:eastAsia="Noto Sans CJK SC"/>
                <w:b/>
                <w:sz w:val="17"/>
              </w:rPr>
              <w:t>Sidebar</w:t>
            </w:r>
          </w:p>
        </w:tc>
        <w:tc>
          <w:tcPr>
            <w:tcW w:type="dxa" w:w="5156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侧边导航/侧栏</w:t>
            </w:r>
          </w:p>
        </w:tc>
      </w:tr>
      <w:tr>
        <w:tc>
          <w:tcPr>
            <w:tcW w:type="dxa" w:w="5156"/>
            <w:vAlign w:val="center"/>
          </w:tcPr>
          <w:p>
            <w:r/>
            <w:r>
              <w:rPr>
                <w:rFonts w:ascii="Noto Sans CJK SC" w:hAnsi="Noto Sans CJK SC" w:eastAsia="Noto Sans CJK SC"/>
                <w:b/>
                <w:sz w:val="17"/>
              </w:rPr>
              <w:t>Navigation Rail</w:t>
            </w:r>
          </w:p>
        </w:tc>
        <w:tc>
          <w:tcPr>
            <w:tcW w:type="dxa" w:w="5156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窄型侧边导航</w:t>
            </w:r>
          </w:p>
        </w:tc>
      </w:tr>
      <w:tr>
        <w:tc>
          <w:tcPr>
            <w:tcW w:type="dxa" w:w="5156"/>
            <w:vAlign w:val="center"/>
          </w:tcPr>
          <w:p>
            <w:r/>
            <w:r>
              <w:rPr>
                <w:rFonts w:ascii="Noto Sans CJK SC" w:hAnsi="Noto Sans CJK SC" w:eastAsia="Noto Sans CJK SC"/>
                <w:b/>
                <w:sz w:val="17"/>
              </w:rPr>
              <w:t>Master–Detail</w:t>
            </w:r>
          </w:p>
        </w:tc>
        <w:tc>
          <w:tcPr>
            <w:tcW w:type="dxa" w:w="5156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主列表与详情并存</w:t>
            </w:r>
          </w:p>
        </w:tc>
      </w:tr>
      <w:tr>
        <w:tc>
          <w:tcPr>
            <w:tcW w:type="dxa" w:w="5156"/>
            <w:vAlign w:val="center"/>
          </w:tcPr>
          <w:p>
            <w:r/>
            <w:r>
              <w:rPr>
                <w:rFonts w:ascii="Noto Sans CJK SC" w:hAnsi="Noto Sans CJK SC" w:eastAsia="Noto Sans CJK SC"/>
                <w:b/>
                <w:sz w:val="17"/>
              </w:rPr>
              <w:t>Drawer</w:t>
            </w:r>
          </w:p>
        </w:tc>
        <w:tc>
          <w:tcPr>
            <w:tcW w:type="dxa" w:w="5156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从边缘滑出的辅助面板</w:t>
            </w:r>
          </w:p>
        </w:tc>
      </w:tr>
      <w:tr>
        <w:tc>
          <w:tcPr>
            <w:tcW w:type="dxa" w:w="5156"/>
            <w:vAlign w:val="center"/>
          </w:tcPr>
          <w:p>
            <w:r/>
            <w:r>
              <w:rPr>
                <w:rFonts w:ascii="Noto Sans CJK SC" w:hAnsi="Noto Sans CJK SC" w:eastAsia="Noto Sans CJK SC"/>
                <w:b/>
                <w:sz w:val="17"/>
              </w:rPr>
              <w:t>Sheet</w:t>
            </w:r>
          </w:p>
        </w:tc>
        <w:tc>
          <w:tcPr>
            <w:tcW w:type="dxa" w:w="5156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移动端从底部/边缘出现的面板</w:t>
            </w:r>
          </w:p>
        </w:tc>
      </w:tr>
      <w:tr>
        <w:tc>
          <w:tcPr>
            <w:tcW w:type="dxa" w:w="5156"/>
            <w:vAlign w:val="center"/>
          </w:tcPr>
          <w:p>
            <w:r/>
            <w:r>
              <w:rPr>
                <w:rFonts w:ascii="Noto Sans CJK SC" w:hAnsi="Noto Sans CJK SC" w:eastAsia="Noto Sans CJK SC"/>
                <w:b/>
                <w:sz w:val="17"/>
              </w:rPr>
              <w:t>Popover</w:t>
            </w:r>
          </w:p>
        </w:tc>
        <w:tc>
          <w:tcPr>
            <w:tcW w:type="dxa" w:w="5156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依附触发器的小型浮层</w:t>
            </w:r>
          </w:p>
        </w:tc>
      </w:tr>
      <w:tr>
        <w:tc>
          <w:tcPr>
            <w:tcW w:type="dxa" w:w="5156"/>
            <w:vAlign w:val="center"/>
          </w:tcPr>
          <w:p>
            <w:r/>
            <w:r>
              <w:rPr>
                <w:rFonts w:ascii="Noto Sans CJK SC" w:hAnsi="Noto Sans CJK SC" w:eastAsia="Noto Sans CJK SC"/>
                <w:b/>
                <w:sz w:val="17"/>
              </w:rPr>
              <w:t>Modal</w:t>
            </w:r>
          </w:p>
        </w:tc>
        <w:tc>
          <w:tcPr>
            <w:tcW w:type="dxa" w:w="5156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阻塞当前流程的对话框</w:t>
            </w:r>
          </w:p>
        </w:tc>
      </w:tr>
      <w:tr>
        <w:tc>
          <w:tcPr>
            <w:tcW w:type="dxa" w:w="5156"/>
            <w:vAlign w:val="center"/>
          </w:tcPr>
          <w:p>
            <w:r/>
            <w:r>
              <w:rPr>
                <w:rFonts w:ascii="Noto Sans CJK SC" w:hAnsi="Noto Sans CJK SC" w:eastAsia="Noto Sans CJK SC"/>
                <w:b/>
                <w:sz w:val="17"/>
              </w:rPr>
              <w:t>Toast</w:t>
            </w:r>
          </w:p>
        </w:tc>
        <w:tc>
          <w:tcPr>
            <w:tcW w:type="dxa" w:w="5156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短暂非阻塞反馈</w:t>
            </w:r>
          </w:p>
        </w:tc>
      </w:tr>
      <w:tr>
        <w:tc>
          <w:tcPr>
            <w:tcW w:type="dxa" w:w="5156"/>
            <w:vAlign w:val="center"/>
          </w:tcPr>
          <w:p>
            <w:r/>
            <w:r>
              <w:rPr>
                <w:rFonts w:ascii="Noto Sans CJK SC" w:hAnsi="Noto Sans CJK SC" w:eastAsia="Noto Sans CJK SC"/>
                <w:b/>
                <w:sz w:val="17"/>
              </w:rPr>
              <w:t>Skeleton</w:t>
            </w:r>
          </w:p>
        </w:tc>
        <w:tc>
          <w:tcPr>
            <w:tcW w:type="dxa" w:w="5156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骨架加载</w:t>
            </w:r>
          </w:p>
        </w:tc>
      </w:tr>
      <w:tr>
        <w:tc>
          <w:tcPr>
            <w:tcW w:type="dxa" w:w="5156"/>
            <w:vAlign w:val="center"/>
          </w:tcPr>
          <w:p>
            <w:r/>
            <w:r>
              <w:rPr>
                <w:rFonts w:ascii="Noto Sans CJK SC" w:hAnsi="Noto Sans CJK SC" w:eastAsia="Noto Sans CJK SC"/>
                <w:b/>
                <w:sz w:val="17"/>
              </w:rPr>
              <w:t>Bento</w:t>
            </w:r>
          </w:p>
        </w:tc>
        <w:tc>
          <w:tcPr>
            <w:tcW w:type="dxa" w:w="5156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大小不等模块组成的网格</w:t>
            </w:r>
          </w:p>
        </w:tc>
      </w:tr>
      <w:tr>
        <w:tc>
          <w:tcPr>
            <w:tcW w:type="dxa" w:w="5156"/>
            <w:vAlign w:val="center"/>
          </w:tcPr>
          <w:p>
            <w:r/>
            <w:r>
              <w:rPr>
                <w:rFonts w:ascii="Noto Sans CJK SC" w:hAnsi="Noto Sans CJK SC" w:eastAsia="Noto Sans CJK SC"/>
                <w:b/>
                <w:sz w:val="17"/>
              </w:rPr>
              <w:t>Design Token</w:t>
            </w:r>
          </w:p>
        </w:tc>
        <w:tc>
          <w:tcPr>
            <w:tcW w:type="dxa" w:w="5156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可复用的视觉变量</w:t>
            </w:r>
          </w:p>
        </w:tc>
      </w:tr>
      <w:tr>
        <w:tc>
          <w:tcPr>
            <w:tcW w:type="dxa" w:w="5156"/>
            <w:vAlign w:val="center"/>
          </w:tcPr>
          <w:p>
            <w:r/>
            <w:r>
              <w:rPr>
                <w:rFonts w:ascii="Noto Sans CJK SC" w:hAnsi="Noto Sans CJK SC" w:eastAsia="Noto Sans CJK SC"/>
                <w:b/>
                <w:sz w:val="17"/>
              </w:rPr>
              <w:t>Density</w:t>
            </w:r>
          </w:p>
        </w:tc>
        <w:tc>
          <w:tcPr>
            <w:tcW w:type="dxa" w:w="5156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信息/控件密度</w:t>
            </w:r>
          </w:p>
        </w:tc>
      </w:tr>
      <w:tr>
        <w:tc>
          <w:tcPr>
            <w:tcW w:type="dxa" w:w="5156"/>
            <w:vAlign w:val="center"/>
          </w:tcPr>
          <w:p>
            <w:r/>
            <w:r>
              <w:rPr>
                <w:rFonts w:ascii="Noto Sans CJK SC" w:hAnsi="Noto Sans CJK SC" w:eastAsia="Noto Sans CJK SC"/>
                <w:b/>
                <w:sz w:val="17"/>
              </w:rPr>
              <w:t>Responsive</w:t>
            </w:r>
          </w:p>
        </w:tc>
        <w:tc>
          <w:tcPr>
            <w:tcW w:type="dxa" w:w="5156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随可用空间连续重排</w:t>
            </w:r>
          </w:p>
        </w:tc>
      </w:tr>
      <w:tr>
        <w:tc>
          <w:tcPr>
            <w:tcW w:type="dxa" w:w="5156"/>
            <w:vAlign w:val="center"/>
          </w:tcPr>
          <w:p>
            <w:r/>
            <w:r>
              <w:rPr>
                <w:rFonts w:ascii="Noto Sans CJK SC" w:hAnsi="Noto Sans CJK SC" w:eastAsia="Noto Sans CJK SC"/>
                <w:b/>
                <w:sz w:val="17"/>
              </w:rPr>
              <w:t>Adaptive</w:t>
            </w:r>
          </w:p>
        </w:tc>
        <w:tc>
          <w:tcPr>
            <w:tcW w:type="dxa" w:w="5156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为几类设备准备离散布局</w:t>
            </w:r>
          </w:p>
        </w:tc>
      </w:tr>
      <w:tr>
        <w:tc>
          <w:tcPr>
            <w:tcW w:type="dxa" w:w="5156"/>
            <w:vAlign w:val="center"/>
          </w:tcPr>
          <w:p>
            <w:r/>
            <w:r>
              <w:rPr>
                <w:rFonts w:ascii="Noto Sans CJK SC" w:hAnsi="Noto Sans CJK SC" w:eastAsia="Noto Sans CJK SC"/>
                <w:b/>
                <w:sz w:val="17"/>
              </w:rPr>
              <w:t>Focus Ring</w:t>
            </w:r>
          </w:p>
        </w:tc>
        <w:tc>
          <w:tcPr>
            <w:tcW w:type="dxa" w:w="5156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键盘焦点可视标记</w:t>
            </w:r>
          </w:p>
        </w:tc>
      </w:tr>
      <w:tr>
        <w:tc>
          <w:tcPr>
            <w:tcW w:type="dxa" w:w="5156"/>
            <w:vAlign w:val="center"/>
          </w:tcPr>
          <w:p>
            <w:r/>
            <w:r>
              <w:rPr>
                <w:rFonts w:ascii="Noto Sans CJK SC" w:hAnsi="Noto Sans CJK SC" w:eastAsia="Noto Sans CJK SC"/>
                <w:b/>
                <w:sz w:val="17"/>
              </w:rPr>
              <w:t>Progressive Disclosure</w:t>
            </w:r>
          </w:p>
        </w:tc>
        <w:tc>
          <w:tcPr>
            <w:tcW w:type="dxa" w:w="5156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渐进披露，按需显示复杂选项</w:t>
            </w:r>
          </w:p>
        </w:tc>
      </w:tr>
      <w:tr>
        <w:tc>
          <w:tcPr>
            <w:tcW w:type="dxa" w:w="5156"/>
            <w:vAlign w:val="center"/>
          </w:tcPr>
          <w:p>
            <w:r/>
            <w:r>
              <w:rPr>
                <w:rFonts w:ascii="Noto Sans CJK SC" w:hAnsi="Noto Sans CJK SC" w:eastAsia="Noto Sans CJK SC"/>
                <w:b/>
                <w:sz w:val="17"/>
              </w:rPr>
              <w:t>Command Palette</w:t>
            </w:r>
          </w:p>
        </w:tc>
        <w:tc>
          <w:tcPr>
            <w:tcW w:type="dxa" w:w="5156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命令搜索面板</w:t>
            </w:r>
          </w:p>
        </w:tc>
      </w:tr>
      <w:tr>
        <w:tc>
          <w:tcPr>
            <w:tcW w:type="dxa" w:w="5156"/>
            <w:vAlign w:val="center"/>
          </w:tcPr>
          <w:p>
            <w:r/>
            <w:r>
              <w:rPr>
                <w:rFonts w:ascii="Noto Sans CJK SC" w:hAnsi="Noto Sans CJK SC" w:eastAsia="Noto Sans CJK SC"/>
                <w:b/>
                <w:sz w:val="17"/>
              </w:rPr>
              <w:t>Optimistic UI</w:t>
            </w:r>
          </w:p>
        </w:tc>
        <w:tc>
          <w:tcPr>
            <w:tcW w:type="dxa" w:w="5156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先更新界面，后确认服务端结果</w:t>
            </w:r>
          </w:p>
        </w:tc>
      </w:tr>
      <w:tr>
        <w:tc>
          <w:tcPr>
            <w:tcW w:type="dxa" w:w="5156"/>
            <w:vAlign w:val="center"/>
          </w:tcPr>
          <w:p>
            <w:r/>
            <w:r>
              <w:rPr>
                <w:rFonts w:ascii="Noto Sans CJK SC" w:hAnsi="Noto Sans CJK SC" w:eastAsia="Noto Sans CJK SC"/>
                <w:b/>
                <w:sz w:val="17"/>
              </w:rPr>
              <w:t>Inline Edit</w:t>
            </w:r>
          </w:p>
        </w:tc>
        <w:tc>
          <w:tcPr>
            <w:tcW w:type="dxa" w:w="5156"/>
            <w:vAlign w:val="center"/>
          </w:tcPr>
          <w:p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原位编辑</w:t>
            </w:r>
          </w:p>
        </w:tc>
      </w:tr>
    </w:tbl>
    <w:sectPr w:rsidR="00FC693F" w:rsidRPr="0006063C" w:rsidSect="00034616">
      <w:footerReference w:type="default" r:id="rId44"/>
      <w:pgSz w:w="12240" w:h="15840"/>
      <w:pgMar w:top="907" w:right="964" w:bottom="850" w:left="96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6A0B0"/>
        <w:sz w:val="16"/>
      </w:rPr>
      <w:t>软件 UI 设计结构与组件图鉴  ·  2026.08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Noto Sans CJK SC" w:hAnsi="Noto Sans CJK SC" w:eastAsia="Noto Sans CJK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202836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2F70F6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202836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 CJK SC" w:hAnsi="Noto Sans CJK SC" w:eastAsia="Noto Sans CJK SC"/>
      <w:b/>
      <w:color w:val="202836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Relationship Id="rId31" Type="http://schemas.openxmlformats.org/officeDocument/2006/relationships/image" Target="media/image23.png"/><Relationship Id="rId32" Type="http://schemas.openxmlformats.org/officeDocument/2006/relationships/image" Target="media/image24.png"/><Relationship Id="rId33" Type="http://schemas.openxmlformats.org/officeDocument/2006/relationships/image" Target="media/image25.png"/><Relationship Id="rId34" Type="http://schemas.openxmlformats.org/officeDocument/2006/relationships/image" Target="media/image26.png"/><Relationship Id="rId35" Type="http://schemas.openxmlformats.org/officeDocument/2006/relationships/image" Target="media/image27.png"/><Relationship Id="rId36" Type="http://schemas.openxmlformats.org/officeDocument/2006/relationships/image" Target="media/image28.png"/><Relationship Id="rId37" Type="http://schemas.openxmlformats.org/officeDocument/2006/relationships/image" Target="media/image29.png"/><Relationship Id="rId38" Type="http://schemas.openxmlformats.org/officeDocument/2006/relationships/image" Target="media/image30.png"/><Relationship Id="rId39" Type="http://schemas.openxmlformats.org/officeDocument/2006/relationships/image" Target="media/image31.png"/><Relationship Id="rId40" Type="http://schemas.openxmlformats.org/officeDocument/2006/relationships/image" Target="media/image32.png"/><Relationship Id="rId41" Type="http://schemas.openxmlformats.org/officeDocument/2006/relationships/image" Target="media/image33.png"/><Relationship Id="rId42" Type="http://schemas.openxmlformats.org/officeDocument/2006/relationships/image" Target="media/image34.png"/><Relationship Id="rId43" Type="http://schemas.openxmlformats.org/officeDocument/2006/relationships/image" Target="media/image35.png"/><Relationship Id="rId4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软件 UI 设计结构与组件图鉴</dc:title>
  <dc:subject>布局、组件、样式、交互与设计系统</dc:subject>
  <dc:creator>OpenAI ChatGPT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