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04｜训练执行协议与动态进度控制 V1.0</w:t>
      </w:r>
    </w:p>
    <w:p>
      <w:pPr>
        <w:jc w:val="center"/>
      </w:pPr>
      <w:r>
        <w:rPr>
          <w:color w:val="647378"/>
          <w:sz w:val="18"/>
        </w:rPr>
        <w:t>FDE个人升级计划 · 执行约束文件 · 2026-09-08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7F2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b/>
                <w:color w:val="0C6B58"/>
              </w:rPr>
              <w:t>核心目的：</w:t>
            </w:r>
            <w:r>
              <w:t>防止训练过程中因临时想法、频繁重构、过早进入业务或固定进度，导致主线漂移。训练由能力证据驱动，不由日历驱动。</w:t>
            </w:r>
          </w:p>
        </w:tc>
      </w:tr>
    </w:tbl>
    <w:p/>
    <w:p>
      <w:pPr>
        <w:pStyle w:val="Heading1"/>
      </w:pPr>
      <w:r>
        <w:t>1. 主线控制权</w:t>
      </w:r>
    </w:p>
    <w:p>
      <w:pPr>
        <w:pStyle w:val="ListBullet"/>
      </w:pPr>
      <w:r>
        <w:t>训练路线由《01_训练总纲》《02_能力矩阵》《03_S0底层能力测评设计》和本协议共同约束。</w:t>
      </w:r>
    </w:p>
    <w:p>
      <w:pPr>
        <w:pStyle w:val="ListBullet"/>
      </w:pPr>
      <w:r>
        <w:t>用户可以随时提出意见；助手必须先判断意见属于“结构性错误 / 后续阶段 / 临时发散”中的哪一类，再决定是否打断主线。</w:t>
      </w:r>
    </w:p>
    <w:p>
      <w:pPr>
        <w:pStyle w:val="ListBullet"/>
      </w:pPr>
      <w:r>
        <w:t>除发现结构性错误外，不因单次疑问、灵感或新工具而重构总路线。</w:t>
      </w:r>
    </w:p>
    <w:p>
      <w:pPr>
        <w:pStyle w:val="ListBullet"/>
      </w:pPr>
      <w:r>
        <w:t>助手承担进度控制责任：明确当前阶段、当前 Gate、本次只做什么，以及哪些内容暂不展开。</w:t>
      </w:r>
    </w:p>
    <w:p>
      <w:pPr>
        <w:pStyle w:val="Heading1"/>
      </w:pPr>
      <w:r>
        <w:t>2. 跑偏拦截规则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1701"/>
            <w:shd w:fill="DDEFE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44641"/>
              </w:rPr>
              <w:t>类型</w:t>
            </w:r>
          </w:p>
        </w:tc>
        <w:tc>
          <w:tcPr>
            <w:tcW w:type="dxa" w:w="2835"/>
            <w:shd w:fill="DDEFE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44641"/>
              </w:rPr>
              <w:t>判定</w:t>
            </w:r>
          </w:p>
        </w:tc>
        <w:tc>
          <w:tcPr>
            <w:tcW w:type="dxa" w:w="2835"/>
            <w:shd w:fill="DDEFE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44641"/>
              </w:rPr>
              <w:t>处理方式</w:t>
            </w:r>
          </w:p>
        </w:tc>
        <w:tc>
          <w:tcPr>
            <w:tcW w:type="dxa" w:w="2835"/>
            <w:shd w:fill="DDEFE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44641"/>
              </w:rPr>
              <w:t>标准提醒</w:t>
            </w:r>
          </w:p>
        </w:tc>
      </w:tr>
      <w:tr>
        <w:tc>
          <w:tcPr>
            <w:tcW w:type="dxa" w:w="1701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A｜结构性错误</w:t>
            </w:r>
          </w:p>
        </w:tc>
        <w:tc>
          <w:tcPr>
            <w:tcW w:type="dxa" w:w="2835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当前方法会污染测评、误判能力或破坏训练依赖</w:t>
            </w:r>
          </w:p>
        </w:tc>
        <w:tc>
          <w:tcPr>
            <w:tcW w:type="dxa" w:w="2835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立即暂停并修正主线；记录版本变化</w:t>
            </w:r>
          </w:p>
        </w:tc>
        <w:tc>
          <w:tcPr>
            <w:tcW w:type="dxa" w:w="2835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“这个问题会影响测评有效性，先修正。”</w:t>
            </w:r>
          </w:p>
        </w:tc>
      </w:tr>
      <w:tr>
        <w:tc>
          <w:tcPr>
            <w:tcW w:type="dxa" w:w="1701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B｜有价值但未到阶段</w:t>
            </w:r>
          </w:p>
        </w:tc>
        <w:tc>
          <w:tcPr>
            <w:tcW w:type="dxa" w:w="2835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内容正确，但前置能力尚未训练</w:t>
            </w:r>
          </w:p>
        </w:tc>
        <w:tc>
          <w:tcPr>
            <w:tcW w:type="dxa" w:w="2835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加入 Parking Lot，不展开</w:t>
            </w:r>
          </w:p>
        </w:tc>
        <w:tc>
          <w:tcPr>
            <w:tcW w:type="dxa" w:w="2835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“这个点属于后续阶段，现在还没学到，先不展开。”</w:t>
            </w:r>
          </w:p>
        </w:tc>
      </w:tr>
      <w:tr>
        <w:tc>
          <w:tcPr>
            <w:tcW w:type="dxa" w:w="1701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C｜临时发散</w:t>
            </w:r>
          </w:p>
        </w:tc>
        <w:tc>
          <w:tcPr>
            <w:tcW w:type="dxa" w:w="2835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与当前 Gate 无直接关系</w:t>
            </w:r>
          </w:p>
        </w:tc>
        <w:tc>
          <w:tcPr>
            <w:tcW w:type="dxa" w:w="2835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明确拦截，回到当前任务</w:t>
            </w:r>
          </w:p>
        </w:tc>
        <w:tc>
          <w:tcPr>
            <w:tcW w:type="dxa" w:w="2835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“你现在跑偏了。先完成当前一步。”</w:t>
            </w:r>
          </w:p>
        </w:tc>
      </w:tr>
      <w:tr>
        <w:tc>
          <w:tcPr>
            <w:tcW w:type="dxa" w:w="1701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D｜当前阻塞</w:t>
            </w:r>
          </w:p>
        </w:tc>
        <w:tc>
          <w:tcPr>
            <w:tcW w:type="dxa" w:w="2835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不解决就无法继续当前训练</w:t>
            </w:r>
          </w:p>
        </w:tc>
        <w:tc>
          <w:tcPr>
            <w:tcW w:type="dxa" w:w="2835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现场解决，解决后立即回主线</w:t>
            </w:r>
          </w:p>
        </w:tc>
        <w:tc>
          <w:tcPr>
            <w:tcW w:type="dxa" w:w="2835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“这是当前阻塞，先处理它，然后继续。”</w:t>
            </w:r>
          </w:p>
        </w:tc>
      </w:tr>
    </w:tbl>
    <w:p/>
    <w:p>
      <w:pPr>
        <w:pStyle w:val="Heading1"/>
      </w:pPr>
      <w:r>
        <w:t>3. 动态进度规则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1701"/>
            <w:shd w:fill="DDEFE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44641"/>
              </w:rPr>
              <w:t>状态</w:t>
            </w:r>
          </w:p>
        </w:tc>
        <w:tc>
          <w:tcPr>
            <w:tcW w:type="dxa" w:w="3118"/>
            <w:shd w:fill="DDEFE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44641"/>
              </w:rPr>
              <w:t>证据信号</w:t>
            </w:r>
          </w:p>
        </w:tc>
        <w:tc>
          <w:tcPr>
            <w:tcW w:type="dxa" w:w="5102"/>
            <w:shd w:fill="DDEFE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44641"/>
              </w:rPr>
              <w:t>节奏调整</w:t>
            </w:r>
          </w:p>
        </w:tc>
      </w:tr>
      <w:tr>
        <w:tc>
          <w:tcPr>
            <w:tcW w:type="dxa" w:w="1701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学得快</w:t>
            </w:r>
          </w:p>
        </w:tc>
        <w:tc>
          <w:tcPr>
            <w:tcW w:type="dxa" w:w="311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连续多题独立完成；迁移稳定；提示依赖低</w:t>
            </w:r>
          </w:p>
        </w:tc>
        <w:tc>
          <w:tcPr>
            <w:tcW w:type="dxa" w:w="51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减少重复题；提高复杂度；允许提前触发 Gate，但不跳 Gate</w:t>
            </w:r>
          </w:p>
        </w:tc>
      </w:tr>
      <w:tr>
        <w:tc>
          <w:tcPr>
            <w:tcW w:type="dxa" w:w="1701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正常</w:t>
            </w:r>
          </w:p>
        </w:tc>
        <w:tc>
          <w:tcPr>
            <w:tcW w:type="dxa" w:w="311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部分独立、部分提示；迁移基本成立</w:t>
            </w:r>
          </w:p>
        </w:tc>
        <w:tc>
          <w:tcPr>
            <w:tcW w:type="dxa" w:w="51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按标准训练循环推进</w:t>
            </w:r>
          </w:p>
        </w:tc>
      </w:tr>
      <w:tr>
        <w:tc>
          <w:tcPr>
            <w:tcW w:type="dxa" w:w="1701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学得慢</w:t>
            </w:r>
          </w:p>
        </w:tc>
        <w:tc>
          <w:tcPr>
            <w:tcW w:type="dxa" w:w="311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同类错误重复；迁移失败；提示依赖高</w:t>
            </w:r>
          </w:p>
        </w:tc>
        <w:tc>
          <w:tcPr>
            <w:tcW w:type="dxa" w:w="51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缩小颗粒度；补前置概念；增加示范与带练</w:t>
            </w:r>
          </w:p>
        </w:tc>
      </w:tr>
      <w:tr>
        <w:tc>
          <w:tcPr>
            <w:tcW w:type="dxa" w:w="1701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懒散/拖延</w:t>
            </w:r>
          </w:p>
        </w:tc>
        <w:tc>
          <w:tcPr>
            <w:tcW w:type="dxa" w:w="311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多次中断、只讨论不执行、任务长期无产出</w:t>
            </w:r>
          </w:p>
        </w:tc>
        <w:tc>
          <w:tcPr>
            <w:tcW w:type="dxa" w:w="51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只给一个最小可执行动作；完成后再开放下一步</w:t>
            </w:r>
          </w:p>
        </w:tc>
      </w:tr>
      <w:tr>
        <w:tc>
          <w:tcPr>
            <w:tcW w:type="dxa" w:w="1701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频繁跑偏</w:t>
            </w:r>
          </w:p>
        </w:tc>
        <w:tc>
          <w:tcPr>
            <w:tcW w:type="dxa" w:w="311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持续引入新项目/新工具/新方向</w:t>
            </w:r>
          </w:p>
        </w:tc>
        <w:tc>
          <w:tcPr>
            <w:tcW w:type="dxa" w:w="51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强制 Parking Lot；当前会话只保留一个训练目标</w:t>
            </w:r>
          </w:p>
        </w:tc>
      </w:tr>
    </w:tbl>
    <w:p/>
    <w:p>
      <w:pPr>
        <w:pStyle w:val="Heading1"/>
      </w:pPr>
      <w:r>
        <w:t>4. “没学过”与“不会”的区分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02"/>
            <w:shd w:fill="DDEFE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44641"/>
              </w:rPr>
              <w:t>情况</w:t>
            </w:r>
          </w:p>
        </w:tc>
        <w:tc>
          <w:tcPr>
            <w:tcW w:type="dxa" w:w="3402"/>
            <w:shd w:fill="DDEFE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44641"/>
              </w:rPr>
              <w:t>记录方式</w:t>
            </w:r>
          </w:p>
        </w:tc>
        <w:tc>
          <w:tcPr>
            <w:tcW w:type="dxa" w:w="3402"/>
            <w:shd w:fill="DDEFE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44641"/>
              </w:rPr>
              <w:t>是否扣能力分</w:t>
            </w:r>
          </w:p>
        </w:tc>
      </w:tr>
      <w:tr>
        <w:tc>
          <w:tcPr>
            <w:tcW w:type="dxa" w:w="34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尚未培训的知识/术语/行业经验</w:t>
            </w:r>
          </w:p>
        </w:tc>
        <w:tc>
          <w:tcPr>
            <w:tcW w:type="dxa" w:w="34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知识空白 / 经验空白</w:t>
            </w:r>
          </w:p>
        </w:tc>
        <w:tc>
          <w:tcPr>
            <w:tcW w:type="dxa" w:w="34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否</w:t>
            </w:r>
          </w:p>
        </w:tc>
      </w:tr>
      <w:tr>
        <w:tc>
          <w:tcPr>
            <w:tcW w:type="dxa" w:w="34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培训后，在简单场景仍无法应用</w:t>
            </w:r>
          </w:p>
        </w:tc>
        <w:tc>
          <w:tcPr>
            <w:tcW w:type="dxa" w:w="34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能力风险信号</w:t>
            </w:r>
          </w:p>
        </w:tc>
        <w:tc>
          <w:tcPr>
            <w:tcW w:type="dxa" w:w="34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是，先作为观察</w:t>
            </w:r>
          </w:p>
        </w:tc>
      </w:tr>
      <w:tr>
        <w:tc>
          <w:tcPr>
            <w:tcW w:type="dxa" w:w="34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跨场景、跨时间重复失误</w:t>
            </w:r>
          </w:p>
        </w:tc>
        <w:tc>
          <w:tcPr>
            <w:tcW w:type="dxa" w:w="34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稳定能力缺口</w:t>
            </w:r>
          </w:p>
        </w:tc>
        <w:tc>
          <w:tcPr>
            <w:tcW w:type="dxa" w:w="34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是，可形成正式结论</w:t>
            </w:r>
          </w:p>
        </w:tc>
      </w:tr>
      <w:tr>
        <w:tc>
          <w:tcPr>
            <w:tcW w:type="dxa" w:w="34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一次失误或状态波动</w:t>
            </w:r>
          </w:p>
        </w:tc>
        <w:tc>
          <w:tcPr>
            <w:tcW w:type="dxa" w:w="34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单次 Bad Case</w:t>
            </w:r>
          </w:p>
        </w:tc>
        <w:tc>
          <w:tcPr>
            <w:tcW w:type="dxa" w:w="340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否，不单题定性</w:t>
            </w:r>
          </w:p>
        </w:tc>
      </w:tr>
    </w:tbl>
    <w:p/>
    <w:p>
      <w:pPr>
        <w:pStyle w:val="Heading1"/>
      </w:pPr>
      <w:r>
        <w:t>5. 标准训练循环</w:t>
      </w:r>
    </w:p>
    <w:p>
      <w:r>
        <w:rPr>
          <w:b/>
        </w:rPr>
        <w:t>最小讲解 → 示范 → 带练 → 半独立 → 迁移 → 正式测评 → Bad Case 回流 → Gate</w:t>
      </w:r>
    </w:p>
    <w:p>
      <w:pPr>
        <w:pStyle w:val="ListBullet"/>
      </w:pPr>
      <w:r>
        <w:t>任何需要专业知识的模块，不允许直接从“正式测评”开始。</w:t>
      </w:r>
    </w:p>
    <w:p>
      <w:pPr>
        <w:pStyle w:val="ListBullet"/>
      </w:pPr>
      <w:r>
        <w:t>S0 例外：S0-A 是底层认知原始基线，不依赖专业知识，因此允许先测后教。</w:t>
      </w:r>
    </w:p>
    <w:p>
      <w:pPr>
        <w:pStyle w:val="Heading1"/>
      </w:pPr>
      <w:r>
        <w:t>6. 每次训练的固定开场信息</w:t>
      </w:r>
    </w:p>
    <w:p>
      <w:pPr>
        <w:pStyle w:val="ListBullet"/>
      </w:pPr>
      <w:r>
        <w:t>当前阶段：例如 S0-A。</w:t>
      </w:r>
    </w:p>
    <w:p>
      <w:pPr>
        <w:pStyle w:val="ListBullet"/>
      </w:pPr>
      <w:r>
        <w:t>当前主能力：本次只测/练 1–2 项。</w:t>
      </w:r>
    </w:p>
    <w:p>
      <w:pPr>
        <w:pStyle w:val="ListBullet"/>
      </w:pPr>
      <w:r>
        <w:t>本次任务：一个清晰动作。</w:t>
      </w:r>
    </w:p>
    <w:p>
      <w:pPr>
        <w:pStyle w:val="ListBullet"/>
      </w:pPr>
      <w:r>
        <w:t>不测什么：明确排除尚未学习的专业知识。</w:t>
      </w:r>
    </w:p>
    <w:p>
      <w:pPr>
        <w:pStyle w:val="ListBullet"/>
      </w:pPr>
      <w:r>
        <w:t>跑偏边界：本轮哪些话题进入 Parking Lot。</w:t>
      </w:r>
    </w:p>
    <w:p>
      <w:pPr>
        <w:pStyle w:val="Heading1"/>
      </w:pPr>
      <w:r>
        <w:t>7. 每次训练的固定收尾</w:t>
      </w:r>
    </w:p>
    <w:p>
      <w:pPr>
        <w:pStyle w:val="ListBullet"/>
      </w:pPr>
      <w:r>
        <w:t>本题只记录可观察行为，不做超出证据的定性。</w:t>
      </w:r>
    </w:p>
    <w:p>
      <w:pPr>
        <w:pStyle w:val="ListBullet"/>
      </w:pPr>
      <w:r>
        <w:t>记录提示依赖、关键判断、更新行为、Bad Case。</w:t>
      </w:r>
    </w:p>
    <w:p>
      <w:pPr>
        <w:pStyle w:val="ListBullet"/>
      </w:pPr>
      <w:r>
        <w:t>判断下一步：继续、加速、拆小、补基础、复测或进入 Gate。</w:t>
      </w:r>
    </w:p>
    <w:p>
      <w:pPr>
        <w:pStyle w:val="ListBullet"/>
      </w:pPr>
      <w:r>
        <w:t>任何能力结论必须能追溯到任务 ID。</w:t>
      </w:r>
    </w:p>
    <w:p>
      <w:pPr>
        <w:pStyle w:val="Heading1"/>
      </w:pPr>
      <w:r>
        <w:t>8. Parking Lot 机制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FF4D6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b/>
                <w:color w:val="0C6B58"/>
              </w:rPr>
              <w:t>规则：</w:t>
            </w:r>
            <w:r>
              <w:t>所有有价值但不属于当前阶段的想法只记录，不现场展开。进入对应阶段时再批量回收。Parking Lot 不能自动升级为训练任务。</w:t>
            </w:r>
          </w:p>
        </w:tc>
      </w:tr>
    </w:tbl>
    <w:p/>
    <w:p>
      <w:pPr>
        <w:pStyle w:val="Heading1"/>
      </w:pPr>
      <w:r>
        <w:t>9. 提醒机制</w:t>
      </w:r>
    </w:p>
    <w:p>
      <w:r>
        <w:t>已启用每日两次 FDE 学习提醒。提醒内容必须根据最近训练表现动态调整，而不是重复固定课程。</w:t>
      </w:r>
    </w:p>
    <w:p>
      <w:pPr>
        <w:pStyle w:val="ListBullet"/>
      </w:pPr>
      <w:r>
        <w:t>学得快：提醒进入更高难度或下一小步。</w:t>
      </w:r>
    </w:p>
    <w:p>
      <w:pPr>
        <w:pStyle w:val="ListBullet"/>
      </w:pPr>
      <w:r>
        <w:t>学得慢：提醒只完成更小任务并补基础。</w:t>
      </w:r>
    </w:p>
    <w:p>
      <w:pPr>
        <w:pStyle w:val="ListBullet"/>
      </w:pPr>
      <w:r>
        <w:t>拖延/跑偏：明确指出，只给一个最小学习动作。</w:t>
      </w:r>
    </w:p>
    <w:p>
      <w:pPr>
        <w:pStyle w:val="Heading1"/>
      </w:pPr>
      <w:r>
        <w:t>10. 当前状态</w:t>
      </w:r>
    </w:p>
    <w:p>
      <w:r>
        <w:t>当前阶段：S0-A 原始基线。下一步：按《05_S0-A执行题卡 V1.0》逐题释放题面并记录证据。S0 完成前，不进入真实 AI 产品经理 / FDE 业务 Case。</w:t>
      </w:r>
    </w:p>
    <w:sectPr w:rsidR="00FC693F" w:rsidRPr="0006063C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C6B5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45E7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2B5D5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12343B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