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880"/>
        <w:jc w:val="center"/>
      </w:pPr>
      <w:r>
        <w:rPr>
          <w:rFonts w:ascii="Microsoft YaHei" w:hAnsi="Microsoft YaHei" w:eastAsia="Microsoft YaHei"/>
          <w:b/>
          <w:color w:val="134E4A"/>
          <w:sz w:val="56"/>
        </w:rPr>
        <w:t>03｜S0 底层能力测评设计 V1.0</w:t>
      </w:r>
    </w:p>
    <w:p>
      <w:pPr>
        <w:jc w:val="center"/>
      </w:pPr>
      <w:r>
        <w:rPr>
          <w:rFonts w:ascii="Microsoft YaHei" w:hAnsi="Microsoft YaHei" w:eastAsia="Microsoft YaHei"/>
          <w:color w:val="475569"/>
          <w:sz w:val="26"/>
        </w:rPr>
        <w:t>先测“认知底盘与可学习性”，不测陌生业务熟练度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cantSplit w:val="true"/>
        </w:trPr>
        <w:tc>
          <w:tcPr>
            <w:tcW w:type="dxa" w:w="3024"/>
            <w:shd w:fill="ECFDF5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9"/>
              </w:rPr>
              <w:t>文档编号</w:t>
              <w:br/>
              <w:t>03_S0底层能力测评</w:t>
            </w:r>
          </w:p>
        </w:tc>
        <w:tc>
          <w:tcPr>
            <w:tcW w:type="dxa" w:w="3024"/>
            <w:shd w:fill="ECFDF5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9"/>
              </w:rPr>
              <w:t>版本</w:t>
              <w:br/>
              <w:t>V1.0</w:t>
            </w:r>
          </w:p>
        </w:tc>
        <w:tc>
          <w:tcPr>
            <w:tcW w:type="dxa" w:w="3024"/>
            <w:shd w:fill="ECFDF5"/>
            <w:tcMar>
              <w:top w:w="120" w:type="dxa"/>
              <w:start w:w="110" w:type="dxa"/>
              <w:bottom w:w="120" w:type="dxa"/>
              <w:end w:w="110" w:type="dxa"/>
            </w:tcMar>
          </w:tcPr>
          <w:p>
            <w:pPr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9"/>
              </w:rPr>
              <w:t>日期</w:t>
              <w:br/>
              <w:t>2026-09-07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F8FAFC"/>
            <w:tcMar>
              <w:top w:w="180" w:type="dxa"/>
              <w:start w:w="200" w:type="dxa"/>
              <w:bottom w:w="180" w:type="dxa"/>
              <w:end w:w="200" w:type="dxa"/>
            </w:tcMar>
          </w:tcPr>
          <w:p>
            <w:pPr>
              <w:jc w:val="left"/>
            </w:pPr>
            <w:r>
              <w:rPr>
                <w:rFonts w:ascii="Microsoft YaHei" w:hAnsi="Microsoft YaHei" w:eastAsia="Microsoft YaHei"/>
                <w:b/>
                <w:color w:val="134E4A"/>
                <w:sz w:val="21"/>
              </w:rPr>
              <w:t>定位：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本文件是《01_训练总纲》的执行层文档。后续训练、测评和复测必须以本文件定义的维度、证据与 Gate 为准，不靠聊天印象临时判断。</w:t>
            </w:r>
          </w:p>
        </w:tc>
      </w:tr>
    </w:tbl>
    <w:p>
      <w:r>
        <w:br w:type="page"/>
      </w:r>
    </w:p>
    <w:p>
      <w:pPr>
        <w:pStyle w:val="Heading1"/>
      </w:pPr>
      <w:r>
        <w:t>1. S0 的边界：测什么，不测什么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ECFDF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34E4A"/>
                <w:sz w:val="21"/>
              </w:rPr>
              <w:t xml:space="preserve">S0只回答一个问题： 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在尚未接受AI产品经理/FDE专业训练之前，当前的逻辑、判断、学习与迁移底盘是什么样；哪些能力可直接进入训练，哪些需要先补基础。S0不用于判断“能不能当FDE”。</w:t>
            </w:r>
          </w:p>
        </w:tc>
      </w:tr>
    </w:tbl>
    <w:p>
      <w:pPr>
        <w:spacing w:after="20"/>
      </w:pPr>
    </w:p>
    <w:p>
      <w:pPr>
        <w:pStyle w:val="Heading2"/>
      </w:pPr>
      <w:r>
        <w:t>测什么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问题定义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逻辑拆解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因果推理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信息分层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优先级与收敛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不确定性处理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抽象迁移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反证与自我纠错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学习速度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表达压缩</w:t>
      </w:r>
    </w:p>
    <w:p>
      <w:pPr>
        <w:pStyle w:val="Heading2"/>
      </w:pPr>
      <w:r>
        <w:t>明确不测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销售、CRM、财务、法律、电商等行业经验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API、部署、模型成本、数据库等尚未培训的专业知识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是否能独立完成真实FDE项目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背诵AI术语或面试框架的熟练度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过去项目数量、学历、职位名称、自我评价</w:t>
      </w:r>
    </w:p>
    <w:p>
      <w:pPr>
        <w:pStyle w:val="Heading1"/>
      </w:pPr>
      <w:r>
        <w:t>2. 测评原则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原则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执行方式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防止的误判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非专业化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题目应能凭题面信息完成，避免行业经验成为隐性答案。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把“没干过这行”误判成逻辑差。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渐进揭示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先给有限信息，再逐步补充，观察如何提问、更新与修正。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只测静态答题，不测更新能力。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多表面同结构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同一能力至少用不同题型/不同表面场景测，降低套路刷分。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背框架刷分。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过程证据优先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记录关注顺序、假设、舍弃、修正过程，不只看最终答案。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答案碰巧对但过程不稳定。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教学与测评分开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正式基线题不提示；可学习性测试会先教学，再看迁移。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把老师提示当个人能力。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不惩罚未知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明确说“不知道”不是扣分点；关键是是否能界定未知并设计获取信息的方法。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鼓励脑补和装懂。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反例压力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高分必须经过反证、冲突目标或新信息注入。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容易题造成虚高。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延迟复测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用平行题再次测，避免短期记住套路造成假提升。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短期记忆冒充能力形成。</w:t>
            </w:r>
          </w:p>
        </w:tc>
      </w:tr>
    </w:tbl>
    <w:p>
      <w:pPr>
        <w:pStyle w:val="Heading1"/>
      </w:pPr>
      <w:r>
        <w:t>3. S0 测评结构：四轮，不直接上真实业务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轮次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形式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主要测量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约束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S0-A｜原始基线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不教学，使用生活化/抽象题。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观察自然思考方式与当前基线。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不评分专业知识。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S0-B｜可学习性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给一个非常小的思考方法，示范一次，再立即换题。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测理解速度、提示依赖和即时迁移。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不能把教学后的表现当原始能力。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S0-C｜压力与反证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增加冲突目标、噪声、新证据、时间/资源约束。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测收敛、自我纠错和不确定性处理。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重点看结论更新，而非坚持原答案。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S0-D｜平行复测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换表面、保留底层结构，不再提示。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测稳定性和真实迁移。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只有复测仍成立，才提高结论置信度。</w:t>
            </w:r>
          </w:p>
        </w:tc>
      </w:tr>
    </w:tbl>
    <w:p>
      <w:pPr>
        <w:pStyle w:val="Heading1"/>
      </w:pPr>
      <w:r>
        <w:t>4. 十项底层能力的测试蓝图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能力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题型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观察点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典型失误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问题定义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现象/原因/方案混合题；同一句话重写为可验证问题。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能否拒绝题面预设；能否区分症状与真正问题。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直接开始给方案；把数据/工具问题当业务问题。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逻辑拆解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分类重组、流程拆解、任务树。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层级、依赖、重复、遗漏。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列表很多但没有结构；拆得过细或过宽。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因果推理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相关性案例、反事实、变量变化。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是否保留替代解释；是否知道需要什么证据。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看到同步变化就断言因果。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信息分层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混合事实/意见/推断材料。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事实与推断能否分开；证据权重是否合理。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用语气强弱代替证据强弱。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优先级与收敛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有限资源、多目标、只能选少数动作。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是否明确主目标与不做项；能否守住关键路径。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“都重要”；Scope持续扩张。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不确定性处理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信息缺口题、最多N个问题、逐步揭示。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问题的信息价值；假设透明；新增信息后的更新速度。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脑补未知；问低价值细节。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抽象迁移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先学一个规律，再换完全不同的表面场景。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是否抓到底层结构；是否摆脱原案例词汇。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机械套模板；换场景即失效。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反证纠错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主动找反例；故意注入推翻证据。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能否指出自己最可能错的位置并改结论。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为原判断辩护；只做局部修补。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学习速度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微教学→即时应用→再次迁移。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第二次提示是否下降；是否能自己总结规则。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只会复述老师原话。</w:t>
            </w:r>
          </w:p>
        </w:tc>
      </w:tr>
      <w:tr>
        <w:trPr>
          <w:cantSplit w:val="true"/>
        </w:trPr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表达压缩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复杂材料压成短结论；口头结构化回答。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6"/>
              </w:rPr>
              <w:t>结论先行、证据充分、风险明确、无重复。</w:t>
            </w:r>
          </w:p>
        </w:tc>
        <w:tc>
          <w:tcPr>
            <w:tcW w:type="dxa" w:w="255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6"/>
              </w:rPr>
              <w:t>用长篇掩盖没有判断。</w:t>
            </w:r>
          </w:p>
        </w:tc>
      </w:tr>
    </w:tbl>
    <w:p>
      <w:pPr>
        <w:pStyle w:val="Heading1"/>
      </w:pPr>
      <w:r>
        <w:t>5. 题库设计：避免“想到哪问到哪”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EFF6FF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D4ED8"/>
                <w:sz w:val="21"/>
              </w:rPr>
              <w:t xml:space="preserve">题库不是一套固定答案： 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每项能力至少准备“基线题、迁移题、压力题”三种题型；正式复测使用平行题，不重复原题。题目可以持续更新，但能力维度与评分规则不随意变化。</w:t>
            </w:r>
          </w:p>
        </w:tc>
      </w:tr>
    </w:tbl>
    <w:p>
      <w:pPr>
        <w:spacing w:after="2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题池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内容原则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主要覆盖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P1 日常因果池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门禁、排队、配送、学习习惯、设备故障等非专业场景。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因果/问题定义/证据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P2 抽象规则池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分类、排序、隐藏规则、逻辑约束。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拆解/抽象/迁移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P3 信息噪声池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多段信息中混有观点、传闻、数字和冲突证据。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信息分层/不确定性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P4 资源约束池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目标多、资源有限、必须舍弃。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优先级/收敛/取舍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P5 新证据池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回答后加入反例或关键新信息。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纠错/更新/抗路径依赖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P6 微学习池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现场教一个陌生但简单的方法或规则，再跨场景使用。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学习速度/迁移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7"/>
              </w:rPr>
              <w:t>P7 表达池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长材料→一句话/三点结论/决策摘要。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表达压缩/结构化</w:t>
            </w:r>
          </w:p>
        </w:tc>
      </w:tr>
    </w:tbl>
    <w:p>
      <w:pPr>
        <w:pStyle w:val="Heading1"/>
      </w:pPr>
      <w:r>
        <w:t>6. S0 评分 Rubric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  <w:cantSplit w:val="true"/>
        </w:trP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等级</w:t>
            </w:r>
          </w:p>
        </w:tc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行为锚点</w:t>
            </w:r>
          </w:p>
        </w:tc>
      </w:tr>
      <w:tr>
        <w:trPr>
          <w:cantSplit w:val="true"/>
        </w:trP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0｜失控/无依据</w:t>
            </w:r>
          </w:p>
        </w:tc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接受题面、脑补关键事实、无法解释判断；新增证据也不更新。</w:t>
            </w:r>
          </w:p>
        </w:tc>
      </w:tr>
      <w:tr>
        <w:trPr>
          <w:cantSplit w:val="true"/>
        </w:trP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1｜有局部意识</w:t>
            </w:r>
          </w:p>
        </w:tc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能看出部分问题，但依赖提示；结构不稳，容易被表面信息带走。</w:t>
            </w:r>
          </w:p>
        </w:tc>
      </w:tr>
      <w:tr>
        <w:trPr>
          <w:cantSplit w:val="true"/>
        </w:trP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2｜基础可用</w:t>
            </w:r>
          </w:p>
        </w:tc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简单题可独立分析；能说明假设和依据，但复杂度提高后容易漏项或发散。</w:t>
            </w:r>
          </w:p>
        </w:tc>
      </w:tr>
      <w:tr>
        <w:trPr>
          <w:cantSplit w:val="true"/>
        </w:trP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3｜稳定</w:t>
            </w:r>
          </w:p>
        </w:tc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在噪声/不完整信息下仍能抓关键变量、收敛、验证并根据新证据更新。</w:t>
            </w:r>
          </w:p>
        </w:tc>
      </w:tr>
      <w:tr>
        <w:trPr>
          <w:cantSplit w:val="true"/>
        </w:trPr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4｜迁移/自驱</w:t>
            </w:r>
          </w:p>
        </w:tc>
        <w:tc>
          <w:tcPr>
            <w:tcW w:type="dxa" w:w="511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能抽象规律、主动反证、跨场景迁移，并把自己的判断过程压缩成可复用方法。</w:t>
            </w:r>
          </w:p>
        </w:tc>
      </w:tr>
    </w:tbl>
    <w:p>
      <w:pPr>
        <w:pStyle w:val="Heading1"/>
      </w:pPr>
      <w:r>
        <w:t>7. 除了等级，还要记录四个“可靠性维度”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记录方式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134E4A"/>
          </w:tcPr>
          <w:p>
            <w:pPr>
              <w:spacing w:after="0" w:before="0"/>
              <w:jc w:val="center"/>
            </w:pPr>
            <w:r/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意义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提示依赖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无提示 / 轻提示 / 中提示 / 重提示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防止把“教完会做”当成独立能力。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一致性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同能力多题表现是否稳定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防止一次发挥好/差影响结论。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迁移性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换表面场景是否仍能使用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区分背框架与真正理解。</w:t>
            </w:r>
          </w:p>
        </w:tc>
      </w:tr>
      <w:tr>
        <w:trPr>
          <w:cantSplit w:val="true"/>
        </w:trPr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ECFDF5"/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/>
                <w:color w:val="134E4A"/>
                <w:sz w:val="18"/>
              </w:rPr>
              <w:t>更新性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0F172A"/>
                <w:sz w:val="17"/>
              </w:rPr>
              <w:t>新增证据后是否修正结论</w:t>
            </w:r>
          </w:p>
        </w:tc>
        <w:tc>
          <w:tcPr>
            <w:tcW w:type="dxa" w:w="340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Microsoft YaHei" w:hAnsi="Microsoft YaHei" w:eastAsia="Microsoft YaHei"/>
                <w:b w:val="0"/>
                <w:color w:val="475569"/>
                <w:sz w:val="17"/>
              </w:rPr>
              <w:t>识别路径依赖与自我纠错能力。</w:t>
            </w:r>
          </w:p>
        </w:tc>
      </w:tr>
    </w:tbl>
    <w:p>
      <w:pPr>
        <w:pStyle w:val="Heading1"/>
      </w:pPr>
      <w:r>
        <w:t>8. 结论输出模板</w:t>
      </w:r>
    </w:p>
    <w:p>
      <w:r>
        <w:t>S0结束后，不输出“你适合/不适合FDE”这种结论。正式输出应包含：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底层能力雷达：10项能力的当前水平区间，而非单点绝对分。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证据置信度：每项能力样本数、一致性、迁移表现。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学习速度画像：哪些能力一教就会、哪些需要多轮训练。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主要认知风险：例如易脑补、易发散、因果跳跃、表达覆盖判断等（只有证据充分才写）。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训练优先级：先补阻塞后续学习的底层瓶颈，不平均训练。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S1入口建议：哪些模块正常进入、哪些需要加强版训练。</w:t>
      </w:r>
    </w:p>
    <w:p>
      <w:pPr>
        <w:pStyle w:val="Heading1"/>
      </w:pPr>
      <w:r>
        <w:t>9. S0 → S1 的 Gate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FFF7ED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B45309"/>
                <w:sz w:val="21"/>
              </w:rPr>
              <w:t xml:space="preserve">Gate不是“全部高分”： 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S0的目标不是筛掉人，而是建立可靠起点。只要能够区分知识空白与认知短板，并形成可执行的S1训练优先级，就可进入S1；明显底层漏洞会在S1重点训练。</w:t>
            </w:r>
          </w:p>
        </w:tc>
      </w:tr>
    </w:tbl>
    <w:p>
      <w:pPr>
        <w:spacing w:after="20"/>
      </w:pP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允许进入S1：已有足够样本建立基线；测试没有被专业知识严重污染；可学习性和迁移性已至少观察一次。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需要补测：同一能力结果冲突很大、题型过于单一、或回答明显受既往专业知识影响。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禁止提前进入真实业务验收：S0/S1阶段不得用陌生行业Case直接判断职业能力。</w:t>
      </w:r>
    </w:p>
    <w:p>
      <w:pPr>
        <w:pStyle w:val="Heading1"/>
      </w:pPr>
      <w:r>
        <w:t>10. 测评执行纪律（对助手的约束）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每次只测预先声明的1-2个主能力，其他表现作为次级观察，避免一题什么都测。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出题前标记：题目目标、污染风险、预期可观察行为；不把答案框架提前泄露。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用户提出“我没学过”时，先判断这是否属于专业知识缺口；若是，停止用该题做底层能力评分。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反馈先引用具体行为，再解释能力含义；禁止只给“你逻辑很好/不好”这类空标签。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训练后复测必须换题，不允许用记住原答案证明提升。</w:t>
      </w:r>
    </w:p>
    <w:p>
      <w:pPr>
        <w:pStyle w:val="ListBullet"/>
        <w:spacing w:after="60"/>
        <w:ind w:left="288"/>
      </w:pPr>
      <w:r>
        <w:rPr>
          <w:rFonts w:ascii="Microsoft YaHei" w:hAnsi="Microsoft YaHei" w:eastAsia="Microsoft YaHei"/>
          <w:color w:val="0F172A"/>
          <w:sz w:val="20"/>
        </w:rPr>
        <w:t>任何新增训练模块必须能映射回《02_能力矩阵》，否则先不加入主线。</w:t>
      </w:r>
    </w:p>
    <w:p>
      <w:pPr>
        <w:pStyle w:val="Heading1"/>
      </w:pPr>
      <w:r>
        <w:t>11. 下一步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24"/>
      </w:tblGrid>
      <w:tr>
        <w:trPr>
          <w:cantSplit w:val="true"/>
        </w:trPr>
        <w:tc>
          <w:tcPr>
            <w:tcW w:type="dxa" w:w="10224"/>
            <w:shd w:fill="ECFDF5"/>
            <w:tcMar>
              <w:top w:w="150" w:type="dxa"/>
              <w:start w:w="180" w:type="dxa"/>
              <w:bottom w:w="150" w:type="dxa"/>
              <w:end w:w="180" w:type="dxa"/>
            </w:tcMar>
          </w:tcPr>
          <w:p>
            <w:r>
              <w:rPr>
                <w:rFonts w:ascii="Microsoft YaHei" w:hAnsi="Microsoft YaHei" w:eastAsia="Microsoft YaHei"/>
                <w:b/>
                <w:color w:val="134E4A"/>
                <w:sz w:val="21"/>
              </w:rPr>
              <w:t xml:space="preserve">正式执行顺序： </w:t>
            </w:r>
            <w:r>
              <w:rPr>
                <w:rFonts w:ascii="Microsoft YaHei" w:hAnsi="Microsoft YaHei" w:eastAsia="Microsoft YaHei"/>
                <w:color w:val="0F172A"/>
                <w:sz w:val="21"/>
              </w:rPr>
              <w:t>先依据本文件建立 S0-A 第一组基线题卡；完成后将证据写入《02_能力矩阵》和后续《03_训练日志》。在S0完成前，不进入AI产品经理真实业务Case。</w:t>
            </w:r>
          </w:p>
        </w:tc>
      </w:tr>
    </w:tbl>
    <w:p>
      <w:pPr>
        <w:spacing w:after="20"/>
      </w:pPr>
    </w:p>
    <w:p>
      <w:pPr>
        <w:pStyle w:val="Heading1"/>
      </w:pPr>
      <w:r>
        <w:t>12. 设计依据</w:t>
      </w:r>
    </w:p>
    <w:p>
      <w:r>
        <w:t>S0的测量设计来自本项目的核心约束：先测底层认知与可学习性，再训练AI Native和专业方法；避免把陌生业务经验缺口当作能力缺口。职业后段能力的边界由当前FDE岗位要求校准，但S0本身不直接测试这些后段交付能力。</w:t>
      </w:r>
    </w:p>
    <w:p>
      <w:r>
        <w:rPr>
          <w:b/>
        </w:rPr>
        <w:t>职业后段参考：</w:t>
      </w:r>
      <w:hyperlink r:id="rId9">
        <w:r>
          <w:rPr>
            <w:color w:val="2563EB"/>
            <w:u w:val="single"/>
            <w:rFonts w:eastAsia="Microsoft YaHei" w:ascii="Microsoft YaHei"/>
          </w:rPr>
          <w:t>OpenAI Forward Deployed Engineer</w:t>
        </w:r>
      </w:hyperlink>
      <w:r>
        <w:t>；</w:t>
      </w:r>
      <w:hyperlink r:id="rId10">
        <w:r>
          <w:rPr>
            <w:color w:val="2563EB"/>
            <w:u w:val="single"/>
            <w:rFonts w:eastAsia="Microsoft YaHei" w:ascii="Microsoft YaHei"/>
          </w:rPr>
          <w:t>OpenAI Technical Deployment Lead, FDE</w:t>
        </w:r>
      </w:hyperlink>
    </w:p>
    <w:sectPr w:rsidR="00FC693F" w:rsidRPr="0006063C" w:rsidSect="00034616">
      <w:footerReference w:type="default" r:id="rId11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94A3B8"/>
        <w:sz w:val="16"/>
      </w:rPr>
      <w:t>FDE个人升级计划  ·  03_S0底层能力测评  ·  V1.0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00"/>
    </w:pPr>
    <w:rPr>
      <w:rFonts w:ascii="Microsoft YaHei" w:hAnsi="Microsoft YaHei" w:eastAsia="Microsoft YaHe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34E4A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766E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F172A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134E4A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penai.com/careers/forward-deployed-engineer-%28fde%29-sf-san-francisco/" TargetMode="External"/><Relationship Id="rId10" Type="http://schemas.openxmlformats.org/officeDocument/2006/relationships/hyperlink" Target="https://openai.com/careers/technical-deployment-lead-forward-deployed-engineering-%28fde%29-sf-san-francisco/" TargetMode="External"/><Relationship Id="rId1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